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FF" w:rsidRPr="00B36CFF" w:rsidRDefault="00B36CFF" w:rsidP="00B36CFF">
      <w:pPr>
        <w:spacing w:after="0" w:line="240" w:lineRule="auto"/>
        <w:jc w:val="center"/>
        <w:rPr>
          <w:rFonts w:ascii="Times New Roman" w:hAnsi="Times New Roman" w:cs="Times New Roman"/>
          <w:sz w:val="32"/>
          <w:szCs w:val="24"/>
          <w:lang w:val="sr-Cyrl-RS"/>
        </w:rPr>
      </w:pPr>
      <w:r>
        <w:rPr>
          <w:rFonts w:ascii="Times New Roman" w:hAnsi="Times New Roman" w:cs="Times New Roman"/>
          <w:sz w:val="32"/>
          <w:szCs w:val="24"/>
          <w:lang w:val="sr-Cyrl-RS"/>
        </w:rPr>
        <w:t>ПРОМЕТ ЖИГА</w:t>
      </w:r>
    </w:p>
    <w:p w:rsidR="00B36CFF" w:rsidRDefault="00B36CFF" w:rsidP="00B36CFF">
      <w:pPr>
        <w:spacing w:after="0" w:line="240" w:lineRule="auto"/>
        <w:jc w:val="both"/>
        <w:rPr>
          <w:rFonts w:ascii="Times New Roman" w:hAnsi="Times New Roman" w:cs="Times New Roman"/>
          <w:sz w:val="24"/>
          <w:szCs w:val="24"/>
          <w:lang w:val="sr-Cyrl-RS"/>
        </w:rPr>
      </w:pPr>
    </w:p>
    <w:p w:rsidR="00B36CFF" w:rsidRDefault="00B36CFF" w:rsidP="00B36CFF">
      <w:pPr>
        <w:spacing w:after="0" w:line="240" w:lineRule="auto"/>
        <w:jc w:val="both"/>
        <w:rPr>
          <w:rFonts w:ascii="Times New Roman" w:hAnsi="Times New Roman" w:cs="Times New Roman"/>
          <w:sz w:val="24"/>
          <w:szCs w:val="24"/>
          <w:lang w:val="sr-Cyrl-RS"/>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Пренос права</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63</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Жиг, односно право из пријаве може бити пренето на друго лице или на друга лица за сву или само за неку робу, односно услуге.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Пренос жига, односно права из пријаве може бити последица уговора о преносу права, статусне промене носиоца жига, односно подносиоца пријаве, судске или административне одлуке.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Пренос права из става 2. овог члана уписује се у Регистар жигова на захтев носиоца жига, односно подносиоца пријаве или стицаоца права.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Упис преноса права из става 2. овог члана у Регистар жигова, производи правно дејство према трећим лицима.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О упису преноса права из става 2. овог члана у Регистар жигова, доноси се посебно решење.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Колективни жиг и жиг гаранције не могу бити предмет преноса права.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Уговор о преносу права</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64</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Уговор о преносу права саставља се у писменој форми и мора садржати: дан закључења, име и презиме или пословно име, пребивалиште или боравиште, односно седиште уговорних страна, регистарски број жига, односно број пријаве за признање жига и висину накнаде, ако је уговорена.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Неће се одобрити упис преноса жига, односно права из пријаве, ако би такав пренос могао да створи забуну у промету у погледу врсте, квалитета или географског порекла робе, односно услуга за које је жиг регистрован, односно за које је поднета пријава за признање жига, изузев уколико се стицалац права одрекне заштите за оне робе, односно услуге у односу на које могућност забуне постоји.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Неће се одобрити упис преноса жига, односно права из пријаве које се односи само за неку робу, односно услугу, у случају када су робе, односно услуге које се преносе битно сличне робама, односно услугама које су обухваћене жигом, односно пријавом за признање жига преносиоца.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 сва питања која се односе на уговор о преносу права, а која нису регулисана овим законом, примењују се прописи којима се уређују облигациони односи.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lastRenderedPageBreak/>
        <w:t>Лиценца</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65</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Носилац жига, односно подносилац пријаве може уговором о лиценци уступити право коришћења жига, односно права из пријаве, и то за сву или само за неку робу, односно услуге.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 случају да постоји више носилаца истог жига, односно више подносилаца исте пријаве из става 1. овог члана, за закључивање уговора о лиценци потребан је пристанак свих, уколико између њих није другачије уговорено.</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Уговор о лиценци из става 1. овог члана саставља се у писменој форми и мора садржати: дан закључења, име и презиме или пословно име, пребивалиште или боравиште, односно седиште уговорних страна, регистарски број жига, односно број пријаве за признање жига, време трајања лиценце и обим лиценце.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Уговор о лиценци из става 1. овог члана уписује се у Регистар жигова на захтев носиоца жига, односно подносиоца пријаве или стицаоца права.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Упис уговора о лиценци из става 1. овог члана у Регистар жигова производи правно дејство према трећим лицима.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О упису уговора о лиценци из става 1. овог члана у Регистар жигова, доноси се посебно решење.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Колективни жиг и жиг гаранције не могу бити предмет уговора о лиценци.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 сва питања која се односе на уступање права коришћења жига, односно права из пријаве, а која нису регулисана овим законом примењују се прописи којима се уређују облигациони односи.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Повреда одредаба уговора о лиценци</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66</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lang w:val="sr-Cyrl-RS"/>
        </w:rPr>
      </w:pPr>
      <w:r w:rsidRPr="00B36CFF">
        <w:rPr>
          <w:rFonts w:ascii="Times New Roman" w:hAnsi="Times New Roman" w:cs="Times New Roman"/>
          <w:sz w:val="24"/>
          <w:szCs w:val="24"/>
        </w:rPr>
        <w:t>Носилац жига који је и давалац лиценце тог жига може се позвати на права која произлазе из жига, а против стицаоца лиценце који врши повреду одредаба из уговора о лиценци које се односе на трајање лиценце, облик обухваћен регистрацијом у коме се жиг може користити, обим робе, односно услуга за које је дата лиценца, подручје на коме се жиг може истицати или квалитет произведене робе, односно услуга пружених од стране стицаоца лиценце.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Залога</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67</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lastRenderedPageBreak/>
        <w:t>Жиг, односно право из пријаве може бити предмет залоге и то на основу уговора о залози, одлуке суда, јавног извршитеља или другог државног органа, и то за сву или само за неке робе или услуге.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Уговор о залози из става 1. овог члана саставља се у писменој форми и мора садржати: дан закључења, име и презиме или пословно име, пребивалиште или боравиште, односно седиште уговорних страна, као и дужника ако су то различита лица, регистарски број жига, односно број пријаве за признање жига и податке о потраживању које се обезбеђује заложним правом.</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Залога из става 1. овог члана уписује се у Регистар жигова на захтев носиоца жига, односно подносиоца пријаве или заложног повериоца.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О упису залоге из става 1. овог члана у Регистар жигова доноси се посебно решење.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Поверилац стиче заложно право уписом у Регистар жигова.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Колективни жиг и жиг гаранције не могу бити предмет залоге.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 сва питања која нису регулисана овим законом примењују се прописи којима се уређује бездржавинска залога, облигациони и својинскоправни односи.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 Регистар жигова уписују се нарочито следећи подаци: подаци о залогодавцу и дужнику, када то нису иста лица, као и подаци о заложном повериоцу; регистарски број жига, односно број пријаве за признање жига; подаци о потраживању које се обезбеђује заложним правом уз назначење основног и максималног износа.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 Регистар жигова уписују се и све промене података из става 8. овог члана.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Надлежни орган ближе прописује врсту података из става 8. овог члана који се уписују у Регистар жигова.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Покретање поступка за упис преноса права, лиценце и залоге</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68</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Поступак за упис преноса права, лиценце и залоге, покреће се писаним захтевом.</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Уз захтев из става 1. овог члана подноси се 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1) доказ о правном основу уписа који се тражи;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2) пуномоћје, ако се поступак за упис преноса права, лиценце, или залоге покреће преко пуномоћника;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3) доказ о уплати таксе за решење по захтеву за упис преноса права, лиценце или залоге.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lastRenderedPageBreak/>
        <w:t>Једним захтевом из става 1. овог члана може се затражити упис преноса права који се односи на више жигова, односно више пријава, под условом да су ранији носилац права и нови носилац права исти у сваком жигу, односно пријави и да су регистарски бројеви, односно бројеви пријава назначени у захтеву.</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Једним захтевом из става 1. овог члана може се затражити упис лиценце, односно залоге, који се односе на више жигова, односно више пријава, под условом да су носилац права и стицалац лиценце, односно залоге исти у сваком жигу, односно пријави, и да су регистарски бројеви, односно бројеви пријава назначени у захтеву.</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Захтев из става 1. овог члана садржи нарочито: регистарски број жига, односно број пријаве; податке о носиоцу жига, односно подносиоцу пријаве; назначење да се тражи упис преноса жига, односно права из пријаве, односно назначење права чији се упис тражи.</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Надлежни орган ближе прописује садржину захтева из става 1. овог члана, одређује прилоге који се подносе уз захтев и прописује њихову садржину.</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Испитивање уредности захтева за упис преноса права, лиценце и залоге</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Члан 69</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Захтев за упис преноса права, лиценце и залоге је уредан ако садржи податке из члана 68. овог закона.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Ако захтев за упис преноса права, лиценце и залоге није уредан, надлежни орган ће писменим путем позвати подносиоца захтева да га уреди у року који надлежни орган одреди, а који не може бити краћи од осам дана.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 образложени захтев подносиоца захтева за упис преноса права, лиценце и залоге, уз плаћање прописане таксе, надлежни орган ће продужити рок из става 2. овог члана за време које сматра примереним.</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Ако подносилац захтева у остављеном року не поступи по позиву, надлежни орган ће донети решење о одбацивању захтева.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У случају из става 4. овог члана уз плаћање прописане таксе, подносилац захтева може поднети предлог за враћање у пређашње стање.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center"/>
        <w:rPr>
          <w:rFonts w:ascii="Times New Roman" w:hAnsi="Times New Roman" w:cs="Times New Roman"/>
          <w:sz w:val="24"/>
          <w:szCs w:val="24"/>
          <w:lang w:val="sr-Cyrl-RS"/>
        </w:rPr>
      </w:pPr>
      <w:r w:rsidRPr="00B36CFF">
        <w:rPr>
          <w:rFonts w:ascii="Times New Roman" w:hAnsi="Times New Roman" w:cs="Times New Roman"/>
          <w:sz w:val="24"/>
          <w:szCs w:val="24"/>
        </w:rPr>
        <w:t>Поступак за упис преноса права, лиценце и залоге</w:t>
      </w:r>
    </w:p>
    <w:p w:rsidR="00B36CFF" w:rsidRPr="00B36CFF" w:rsidRDefault="00B36CFF" w:rsidP="00B36CFF">
      <w:pPr>
        <w:spacing w:after="0" w:line="240" w:lineRule="auto"/>
        <w:jc w:val="center"/>
        <w:rPr>
          <w:rFonts w:ascii="Times New Roman" w:hAnsi="Times New Roman" w:cs="Times New Roman"/>
          <w:sz w:val="24"/>
          <w:szCs w:val="24"/>
        </w:rPr>
      </w:pPr>
      <w:r w:rsidRPr="00B36CFF">
        <w:rPr>
          <w:rFonts w:ascii="Times New Roman" w:hAnsi="Times New Roman" w:cs="Times New Roman"/>
          <w:sz w:val="24"/>
          <w:szCs w:val="24"/>
        </w:rPr>
        <w:t>Ч</w:t>
      </w:r>
      <w:bookmarkStart w:id="0" w:name="_GoBack"/>
      <w:bookmarkEnd w:id="0"/>
      <w:r w:rsidRPr="00B36CFF">
        <w:rPr>
          <w:rFonts w:ascii="Times New Roman" w:hAnsi="Times New Roman" w:cs="Times New Roman"/>
          <w:sz w:val="24"/>
          <w:szCs w:val="24"/>
        </w:rPr>
        <w:t>лан 70</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Ако је захтев за упис преноса права, лиценце и залоге уредан у смислу члана 69. овог закона, надлежни орган испитује да ли правни основ на коме се тај захтев заснива испуњава законом прописане услове за упис преноса права, лиценце и залоге.</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lastRenderedPageBreak/>
        <w:t>Ако правни основ на коме се заснива захтев за упис преноса права, лиценце и залоге не испуњава услове прописане законом, или ако се подаци из захтева не слажу са подацима у регистрима, надлежни орган ће писменим путем обавестити подносиоца захтева о разлозима због којих се упис не може извршити и позваће га да се у року који надлежни орган одреди изјасни о тим разлозима.</w:t>
      </w:r>
    </w:p>
    <w:p w:rsidR="00B36CFF" w:rsidRPr="00B36CFF" w:rsidRDefault="00B36CFF" w:rsidP="00B36CFF">
      <w:pPr>
        <w:spacing w:after="0" w:line="240" w:lineRule="auto"/>
        <w:jc w:val="both"/>
        <w:rPr>
          <w:rFonts w:ascii="Times New Roman" w:hAnsi="Times New Roman" w:cs="Times New Roman"/>
          <w:sz w:val="24"/>
          <w:szCs w:val="24"/>
        </w:rPr>
      </w:pPr>
    </w:p>
    <w:p w:rsidR="00B36CF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 образложени захтев подносиоца захтева за упис преноса права, лиценце и залоге, уз плаћање прописане таксе, надлежни орган ће продужити рок из става 2. овог члана за време које сматра примереним.</w:t>
      </w:r>
    </w:p>
    <w:p w:rsidR="00B36CFF" w:rsidRPr="00B36CFF" w:rsidRDefault="00B36CFF" w:rsidP="00B36CFF">
      <w:pPr>
        <w:spacing w:after="0" w:line="240" w:lineRule="auto"/>
        <w:jc w:val="both"/>
        <w:rPr>
          <w:rFonts w:ascii="Times New Roman" w:hAnsi="Times New Roman" w:cs="Times New Roman"/>
          <w:sz w:val="24"/>
          <w:szCs w:val="24"/>
        </w:rPr>
      </w:pPr>
    </w:p>
    <w:p w:rsidR="00252E4F" w:rsidRPr="00B36CFF" w:rsidRDefault="00B36CFF" w:rsidP="00B36CFF">
      <w:pPr>
        <w:spacing w:after="0" w:line="240" w:lineRule="auto"/>
        <w:jc w:val="both"/>
        <w:rPr>
          <w:rFonts w:ascii="Times New Roman" w:hAnsi="Times New Roman" w:cs="Times New Roman"/>
          <w:sz w:val="24"/>
          <w:szCs w:val="24"/>
        </w:rPr>
      </w:pPr>
      <w:r w:rsidRPr="00B36CFF">
        <w:rPr>
          <w:rFonts w:ascii="Times New Roman" w:hAnsi="Times New Roman" w:cs="Times New Roman"/>
          <w:sz w:val="24"/>
          <w:szCs w:val="24"/>
        </w:rPr>
        <w:t>Надлежни орган ће решењем одбити захтев за упис преноса права, лиценце и залоге ако се подносилац захтева у остављеном року не изјасни о разлозима због којих се упис не може одобрити, или се изјасни, а надлежни орган и даље сматра да се упис не може одобрити.</w:t>
      </w:r>
    </w:p>
    <w:sectPr w:rsidR="00252E4F" w:rsidRPr="00B36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FF"/>
    <w:rsid w:val="001F3A90"/>
    <w:rsid w:val="00252E4F"/>
    <w:rsid w:val="00403FC1"/>
    <w:rsid w:val="00A904E7"/>
    <w:rsid w:val="00B36CFF"/>
    <w:rsid w:val="00B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1288</Words>
  <Characters>7343</Characters>
  <Application>Microsoft Office Word</Application>
  <DocSecurity>0</DocSecurity>
  <Lines>61</Lines>
  <Paragraphs>17</Paragraphs>
  <ScaleCrop>false</ScaleCrop>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Milosavljevic</dc:creator>
  <cp:lastModifiedBy>Nikola Milosavljevic</cp:lastModifiedBy>
  <cp:revision>1</cp:revision>
  <dcterms:created xsi:type="dcterms:W3CDTF">2024-02-20T20:13:00Z</dcterms:created>
  <dcterms:modified xsi:type="dcterms:W3CDTF">2024-02-20T20:16:00Z</dcterms:modified>
</cp:coreProperties>
</file>