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A7" w:rsidRDefault="006C01A7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p w:rsidR="006C01A7" w:rsidRDefault="006C01A7">
      <w:pPr>
        <w:widowControl w:val="0"/>
        <w:autoSpaceDE w:val="0"/>
        <w:autoSpaceDN w:val="0"/>
        <w:adjustRightInd w:val="0"/>
        <w:spacing w:after="0" w:line="240" w:lineRule="auto"/>
        <w:ind w:left="117"/>
        <w:rPr>
          <w:rFonts w:ascii="Times New Roman" w:hAnsi="Times New Roman"/>
          <w:sz w:val="20"/>
          <w:szCs w:val="20"/>
        </w:rPr>
      </w:pPr>
    </w:p>
    <w:p w:rsidR="006C01A7" w:rsidRDefault="006C01A7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sz w:val="10"/>
          <w:szCs w:val="10"/>
        </w:rPr>
      </w:pPr>
    </w:p>
    <w:p w:rsidR="005E7DCF" w:rsidRPr="006138B1" w:rsidRDefault="005E7DCF" w:rsidP="005E7DC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34"/>
          <w:szCs w:val="34"/>
        </w:rPr>
      </w:pPr>
      <w:r w:rsidRPr="006138B1">
        <w:rPr>
          <w:rFonts w:ascii="Cambria" w:hAnsi="Cambria"/>
          <w:b/>
          <w:bCs/>
          <w:sz w:val="34"/>
          <w:szCs w:val="34"/>
        </w:rPr>
        <w:t>South East European Law Journal</w:t>
      </w:r>
    </w:p>
    <w:p w:rsidR="005E7DCF" w:rsidRPr="006138B1" w:rsidRDefault="005E7DCF" w:rsidP="005E7DCF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bCs/>
          <w:sz w:val="34"/>
          <w:szCs w:val="34"/>
        </w:rPr>
      </w:pPr>
      <w:r w:rsidRPr="006138B1">
        <w:rPr>
          <w:rFonts w:ascii="Cambria" w:hAnsi="Cambria"/>
          <w:b/>
          <w:bCs/>
          <w:sz w:val="34"/>
          <w:szCs w:val="34"/>
        </w:rPr>
        <w:t>[SEE Law Journal]</w:t>
      </w:r>
    </w:p>
    <w:p w:rsidR="005E7DCF" w:rsidRPr="006138B1" w:rsidRDefault="005E7DCF" w:rsidP="00B60822">
      <w:pPr>
        <w:widowControl w:val="0"/>
        <w:tabs>
          <w:tab w:val="left" w:pos="9340"/>
        </w:tabs>
        <w:autoSpaceDE w:val="0"/>
        <w:autoSpaceDN w:val="0"/>
        <w:adjustRightInd w:val="0"/>
        <w:spacing w:before="29" w:after="0" w:line="240" w:lineRule="auto"/>
        <w:ind w:right="-16"/>
        <w:jc w:val="center"/>
        <w:rPr>
          <w:rFonts w:ascii="Cambria" w:hAnsi="Cambria"/>
          <w:sz w:val="28"/>
          <w:szCs w:val="28"/>
        </w:rPr>
      </w:pPr>
      <w:r w:rsidRPr="006138B1">
        <w:rPr>
          <w:rFonts w:ascii="Cambria" w:hAnsi="Cambria"/>
          <w:i/>
          <w:iCs/>
          <w:spacing w:val="1"/>
          <w:sz w:val="28"/>
          <w:szCs w:val="28"/>
        </w:rPr>
        <w:t>C</w:t>
      </w:r>
      <w:r w:rsidRPr="006138B1">
        <w:rPr>
          <w:rFonts w:ascii="Cambria" w:hAnsi="Cambria"/>
          <w:i/>
          <w:iCs/>
          <w:sz w:val="28"/>
          <w:szCs w:val="28"/>
        </w:rPr>
        <w:t>all for Pap</w:t>
      </w:r>
      <w:r w:rsidRPr="006138B1">
        <w:rPr>
          <w:rFonts w:ascii="Cambria" w:hAnsi="Cambria"/>
          <w:i/>
          <w:iCs/>
          <w:spacing w:val="-1"/>
          <w:sz w:val="28"/>
          <w:szCs w:val="28"/>
        </w:rPr>
        <w:t>e</w:t>
      </w:r>
      <w:r w:rsidRPr="006138B1">
        <w:rPr>
          <w:rFonts w:ascii="Cambria" w:hAnsi="Cambria"/>
          <w:i/>
          <w:iCs/>
          <w:sz w:val="28"/>
          <w:szCs w:val="28"/>
        </w:rPr>
        <w:t>rs</w:t>
      </w:r>
    </w:p>
    <w:p w:rsidR="006C01A7" w:rsidRPr="006138B1" w:rsidRDefault="006C01A7" w:rsidP="00B60822">
      <w:pPr>
        <w:widowControl w:val="0"/>
        <w:tabs>
          <w:tab w:val="left" w:pos="9340"/>
        </w:tabs>
        <w:autoSpaceDE w:val="0"/>
        <w:autoSpaceDN w:val="0"/>
        <w:adjustRightInd w:val="0"/>
        <w:spacing w:after="0" w:line="200" w:lineRule="exact"/>
        <w:ind w:right="-16"/>
        <w:rPr>
          <w:rFonts w:ascii="Cambria" w:hAnsi="Cambria"/>
          <w:sz w:val="28"/>
          <w:szCs w:val="28"/>
        </w:rPr>
      </w:pPr>
    </w:p>
    <w:p w:rsidR="00915A24" w:rsidRPr="006138B1" w:rsidRDefault="00D17CB1">
      <w:pPr>
        <w:widowControl w:val="0"/>
        <w:autoSpaceDE w:val="0"/>
        <w:autoSpaceDN w:val="0"/>
        <w:adjustRightInd w:val="0"/>
        <w:spacing w:after="0" w:line="240" w:lineRule="auto"/>
        <w:ind w:left="116" w:right="95"/>
        <w:jc w:val="both"/>
        <w:rPr>
          <w:rFonts w:ascii="Cambria" w:hAnsi="Cambria"/>
          <w:sz w:val="24"/>
          <w:szCs w:val="24"/>
        </w:rPr>
      </w:pPr>
      <w:r w:rsidRPr="006138B1">
        <w:rPr>
          <w:rFonts w:ascii="Cambria" w:hAnsi="Cambria"/>
          <w:spacing w:val="1"/>
          <w:sz w:val="24"/>
          <w:szCs w:val="24"/>
        </w:rPr>
        <w:t xml:space="preserve">The South East European Law Journal (SEE Law Journal) is a scientific English language journal of the South East European Law School Network (SEELS). The SEE Law Journal </w:t>
      </w:r>
      <w:r w:rsidRPr="006138B1">
        <w:rPr>
          <w:rFonts w:ascii="Cambria" w:hAnsi="Cambria"/>
          <w:sz w:val="24"/>
          <w:szCs w:val="24"/>
          <w:lang w:val="en-GB"/>
        </w:rPr>
        <w:t xml:space="preserve">publishes </w:t>
      </w:r>
      <w:r w:rsidR="0095425C" w:rsidRPr="006138B1">
        <w:rPr>
          <w:rFonts w:ascii="Cambria" w:hAnsi="Cambria"/>
          <w:sz w:val="24"/>
          <w:szCs w:val="24"/>
          <w:lang w:val="en-GB"/>
        </w:rPr>
        <w:t xml:space="preserve">high-quality </w:t>
      </w:r>
      <w:r w:rsidRPr="006138B1">
        <w:rPr>
          <w:rFonts w:ascii="Cambria" w:hAnsi="Cambria"/>
          <w:sz w:val="24"/>
          <w:szCs w:val="24"/>
          <w:lang w:val="en-GB"/>
        </w:rPr>
        <w:t xml:space="preserve">original, double peer-reviewed scientific articles focusing on relevant questions of regional, European and international integration of SEE countries, </w:t>
      </w:r>
      <w:r w:rsidR="00915A24" w:rsidRPr="006138B1">
        <w:rPr>
          <w:rFonts w:ascii="Cambria" w:hAnsi="Cambria"/>
          <w:sz w:val="24"/>
          <w:szCs w:val="24"/>
          <w:lang w:val="en-GB"/>
        </w:rPr>
        <w:t xml:space="preserve">issues of legal reform and approximation with the </w:t>
      </w:r>
      <w:proofErr w:type="spellStart"/>
      <w:r w:rsidR="00915A24" w:rsidRPr="006138B1">
        <w:rPr>
          <w:rFonts w:ascii="Cambria" w:hAnsi="Cambria"/>
          <w:sz w:val="24"/>
          <w:szCs w:val="24"/>
          <w:lang w:val="en-GB"/>
        </w:rPr>
        <w:t>acquis</w:t>
      </w:r>
      <w:proofErr w:type="spellEnd"/>
      <w:r w:rsidR="00915A24" w:rsidRPr="006138B1">
        <w:rPr>
          <w:rFonts w:ascii="Cambria" w:hAnsi="Cambria"/>
          <w:sz w:val="24"/>
          <w:szCs w:val="24"/>
          <w:lang w:val="en-GB"/>
        </w:rPr>
        <w:t xml:space="preserve"> </w:t>
      </w:r>
      <w:proofErr w:type="spellStart"/>
      <w:r w:rsidR="00915A24" w:rsidRPr="006138B1">
        <w:rPr>
          <w:rFonts w:ascii="Cambria" w:hAnsi="Cambria"/>
          <w:sz w:val="24"/>
          <w:szCs w:val="24"/>
          <w:lang w:val="en-GB"/>
        </w:rPr>
        <w:t>communitaire</w:t>
      </w:r>
      <w:proofErr w:type="spellEnd"/>
      <w:r w:rsidR="00915A24" w:rsidRPr="006138B1">
        <w:rPr>
          <w:rFonts w:ascii="Cambria" w:hAnsi="Cambria"/>
          <w:sz w:val="24"/>
          <w:szCs w:val="24"/>
          <w:lang w:val="en-GB"/>
        </w:rPr>
        <w:t xml:space="preserve">, </w:t>
      </w:r>
      <w:r w:rsidR="00915A24" w:rsidRPr="006138B1">
        <w:rPr>
          <w:rFonts w:ascii="Cambria" w:hAnsi="Cambria"/>
          <w:sz w:val="24"/>
          <w:szCs w:val="24"/>
        </w:rPr>
        <w:t xml:space="preserve">best practices in legal reform, unification of the legislation in the region of South East Europe and the EU. </w:t>
      </w:r>
    </w:p>
    <w:p w:rsidR="00915A24" w:rsidRPr="006138B1" w:rsidRDefault="00915A24">
      <w:pPr>
        <w:widowControl w:val="0"/>
        <w:autoSpaceDE w:val="0"/>
        <w:autoSpaceDN w:val="0"/>
        <w:adjustRightInd w:val="0"/>
        <w:spacing w:after="0" w:line="240" w:lineRule="auto"/>
        <w:ind w:left="116" w:right="95"/>
        <w:jc w:val="both"/>
        <w:rPr>
          <w:rFonts w:ascii="Cambria" w:hAnsi="Cambria"/>
          <w:sz w:val="24"/>
          <w:szCs w:val="24"/>
        </w:rPr>
      </w:pPr>
    </w:p>
    <w:p w:rsidR="0095425C" w:rsidRPr="006138B1" w:rsidRDefault="0095425C">
      <w:pPr>
        <w:widowControl w:val="0"/>
        <w:autoSpaceDE w:val="0"/>
        <w:autoSpaceDN w:val="0"/>
        <w:adjustRightInd w:val="0"/>
        <w:spacing w:after="0" w:line="240" w:lineRule="auto"/>
        <w:ind w:left="116" w:right="95"/>
        <w:jc w:val="both"/>
        <w:rPr>
          <w:rFonts w:ascii="Cambria" w:hAnsi="Cambria"/>
          <w:sz w:val="24"/>
          <w:szCs w:val="24"/>
          <w:lang w:val="en-GB"/>
        </w:rPr>
      </w:pPr>
      <w:r w:rsidRPr="006138B1">
        <w:rPr>
          <w:rFonts w:ascii="Cambria" w:hAnsi="Cambria"/>
          <w:sz w:val="24"/>
          <w:szCs w:val="24"/>
          <w:lang w:val="en-GB"/>
        </w:rPr>
        <w:t>We cordially invite you to submit your contributions for the spring edition of the SEE Law Journal</w:t>
      </w:r>
      <w:r w:rsidR="00FE3B28" w:rsidRPr="006138B1">
        <w:rPr>
          <w:rFonts w:ascii="Cambria" w:hAnsi="Cambria"/>
          <w:sz w:val="24"/>
          <w:szCs w:val="24"/>
          <w:lang w:val="en-GB"/>
        </w:rPr>
        <w:t xml:space="preserve"> to be </w:t>
      </w:r>
      <w:r w:rsidR="00FE3B28" w:rsidRPr="00C51B6C">
        <w:rPr>
          <w:rFonts w:asciiTheme="majorHAnsi" w:hAnsiTheme="majorHAnsi"/>
          <w:sz w:val="24"/>
          <w:szCs w:val="24"/>
          <w:lang w:val="en-GB"/>
        </w:rPr>
        <w:t>published in June 2012</w:t>
      </w:r>
      <w:r w:rsidR="00C51B6C" w:rsidRPr="00C51B6C">
        <w:rPr>
          <w:rFonts w:asciiTheme="majorHAnsi" w:hAnsiTheme="majorHAnsi"/>
          <w:sz w:val="24"/>
          <w:szCs w:val="24"/>
          <w:lang w:val="en-GB"/>
        </w:rPr>
        <w:t xml:space="preserve"> </w:t>
      </w:r>
      <w:r w:rsidR="00CD0C45">
        <w:rPr>
          <w:rFonts w:asciiTheme="majorHAnsi" w:hAnsiTheme="majorHAnsi"/>
          <w:sz w:val="24"/>
          <w:szCs w:val="24"/>
          <w:lang w:val="en-GB"/>
        </w:rPr>
        <w:t xml:space="preserve">with a </w:t>
      </w:r>
      <w:r w:rsidR="00CD0C45" w:rsidRPr="00C51B6C">
        <w:rPr>
          <w:rFonts w:asciiTheme="majorHAnsi" w:hAnsiTheme="majorHAnsi"/>
          <w:sz w:val="24"/>
          <w:szCs w:val="24"/>
        </w:rPr>
        <w:t>financial</w:t>
      </w:r>
      <w:r w:rsidR="00C51B6C" w:rsidRPr="00C51B6C">
        <w:rPr>
          <w:rFonts w:asciiTheme="majorHAnsi" w:hAnsiTheme="majorHAnsi"/>
          <w:sz w:val="24"/>
          <w:szCs w:val="24"/>
        </w:rPr>
        <w:t xml:space="preserve"> support by GIZ Open Regional Fund for South East Europe-Legal reform</w:t>
      </w:r>
      <w:r w:rsidR="00FE3B28" w:rsidRPr="00C51B6C">
        <w:rPr>
          <w:rFonts w:asciiTheme="majorHAnsi" w:hAnsiTheme="majorHAnsi"/>
          <w:sz w:val="24"/>
          <w:szCs w:val="24"/>
          <w:lang w:val="en-GB"/>
        </w:rPr>
        <w:t>.</w:t>
      </w:r>
      <w:r w:rsidR="00B60822" w:rsidRPr="00C51B6C">
        <w:rPr>
          <w:rFonts w:asciiTheme="majorHAnsi" w:hAnsiTheme="majorHAnsi"/>
          <w:sz w:val="24"/>
          <w:szCs w:val="24"/>
          <w:lang w:val="en-GB"/>
        </w:rPr>
        <w:t xml:space="preserve"> The SEE Law Journal is open for submission of articles categorised as an original scientific</w:t>
      </w:r>
      <w:r w:rsidR="00B60822" w:rsidRPr="006138B1">
        <w:rPr>
          <w:rFonts w:ascii="Cambria" w:hAnsi="Cambria"/>
          <w:sz w:val="24"/>
          <w:szCs w:val="24"/>
          <w:lang w:val="en-GB"/>
        </w:rPr>
        <w:t xml:space="preserve"> paper or review paper by the academic staff and junior researchers (PhD students) of the SEELS members. Other co-authors of the manuscripts may be from other public funded Law Faculties from Albania, Bosnia and Herzegovina, Croatia, Macedonia, Montenegro and Serbia. The authorship is restricted to maximum three co-authors per article.</w:t>
      </w:r>
    </w:p>
    <w:p w:rsidR="0095425C" w:rsidRPr="006138B1" w:rsidRDefault="0095425C">
      <w:pPr>
        <w:widowControl w:val="0"/>
        <w:autoSpaceDE w:val="0"/>
        <w:autoSpaceDN w:val="0"/>
        <w:adjustRightInd w:val="0"/>
        <w:spacing w:after="0" w:line="240" w:lineRule="auto"/>
        <w:ind w:left="116" w:right="95"/>
        <w:jc w:val="both"/>
        <w:rPr>
          <w:rFonts w:ascii="Cambria" w:hAnsi="Cambria"/>
          <w:sz w:val="24"/>
          <w:szCs w:val="24"/>
          <w:lang w:val="en-GB"/>
        </w:rPr>
      </w:pPr>
    </w:p>
    <w:p w:rsidR="0095425C" w:rsidRPr="006138B1" w:rsidRDefault="0095425C" w:rsidP="0095425C">
      <w:pPr>
        <w:widowControl w:val="0"/>
        <w:autoSpaceDE w:val="0"/>
        <w:autoSpaceDN w:val="0"/>
        <w:adjustRightInd w:val="0"/>
        <w:spacing w:after="0" w:line="240" w:lineRule="auto"/>
        <w:ind w:left="116" w:right="95"/>
        <w:jc w:val="both"/>
        <w:rPr>
          <w:rFonts w:ascii="Cambria" w:hAnsi="Cambria"/>
          <w:sz w:val="24"/>
          <w:szCs w:val="24"/>
        </w:rPr>
      </w:pPr>
      <w:r w:rsidRPr="006138B1">
        <w:rPr>
          <w:rFonts w:ascii="Cambria" w:hAnsi="Cambria"/>
          <w:sz w:val="24"/>
          <w:szCs w:val="24"/>
          <w:lang w:val="en-GB"/>
        </w:rPr>
        <w:t xml:space="preserve">For further instructions </w:t>
      </w:r>
      <w:r w:rsidR="00B60822" w:rsidRPr="006138B1">
        <w:rPr>
          <w:rFonts w:ascii="Cambria" w:hAnsi="Cambria"/>
          <w:sz w:val="24"/>
          <w:szCs w:val="24"/>
          <w:lang w:val="en-GB"/>
        </w:rPr>
        <w:t xml:space="preserve">please see the General </w:t>
      </w:r>
      <w:r w:rsidRPr="006138B1">
        <w:rPr>
          <w:rFonts w:ascii="Cambria" w:hAnsi="Cambria"/>
          <w:sz w:val="24"/>
          <w:szCs w:val="24"/>
          <w:lang w:val="en-GB"/>
        </w:rPr>
        <w:t xml:space="preserve">guidelines for authors, </w:t>
      </w:r>
      <w:r w:rsidR="00B60822" w:rsidRPr="006138B1">
        <w:rPr>
          <w:rFonts w:ascii="Cambria" w:hAnsi="Cambria"/>
          <w:sz w:val="24"/>
          <w:szCs w:val="24"/>
          <w:lang w:val="en-GB"/>
        </w:rPr>
        <w:t>available at</w:t>
      </w:r>
      <w:r w:rsidR="00FE3B28" w:rsidRPr="006138B1">
        <w:rPr>
          <w:rFonts w:ascii="Cambria" w:hAnsi="Cambria"/>
          <w:sz w:val="24"/>
          <w:szCs w:val="24"/>
          <w:lang w:val="en-GB"/>
        </w:rPr>
        <w:t xml:space="preserve"> </w:t>
      </w:r>
      <w:hyperlink r:id="rId6" w:history="1">
        <w:r w:rsidR="00FE3B28" w:rsidRPr="006138B1">
          <w:rPr>
            <w:rStyle w:val="Hyperlink"/>
            <w:rFonts w:ascii="Cambria" w:hAnsi="Cambria"/>
            <w:sz w:val="24"/>
            <w:szCs w:val="24"/>
            <w:lang w:val="en-GB"/>
          </w:rPr>
          <w:t>www.seelawschool.org</w:t>
        </w:r>
      </w:hyperlink>
      <w:r w:rsidR="00FE3B28" w:rsidRPr="006138B1">
        <w:rPr>
          <w:rFonts w:ascii="Cambria" w:hAnsi="Cambria"/>
          <w:sz w:val="24"/>
          <w:szCs w:val="24"/>
          <w:lang w:val="en-GB"/>
        </w:rPr>
        <w:t xml:space="preserve">. </w:t>
      </w:r>
      <w:r w:rsidRPr="006138B1">
        <w:rPr>
          <w:rFonts w:ascii="Cambria" w:hAnsi="Cambria"/>
          <w:sz w:val="24"/>
          <w:szCs w:val="24"/>
          <w:lang w:val="en-GB"/>
        </w:rPr>
        <w:t xml:space="preserve">Papers should be submitted </w:t>
      </w:r>
      <w:r w:rsidR="00B60822" w:rsidRPr="006138B1">
        <w:rPr>
          <w:rFonts w:ascii="Cambria" w:hAnsi="Cambria"/>
          <w:sz w:val="24"/>
          <w:szCs w:val="24"/>
          <w:lang w:val="en-GB"/>
        </w:rPr>
        <w:t xml:space="preserve">in English language </w:t>
      </w:r>
      <w:r w:rsidRPr="006138B1">
        <w:rPr>
          <w:rFonts w:ascii="Cambria" w:hAnsi="Cambria"/>
          <w:sz w:val="24"/>
          <w:szCs w:val="24"/>
          <w:lang w:val="en-GB"/>
        </w:rPr>
        <w:t xml:space="preserve">via e-mail to </w:t>
      </w:r>
      <w:hyperlink r:id="rId7" w:history="1">
        <w:r w:rsidR="00B60822" w:rsidRPr="006138B1">
          <w:rPr>
            <w:rStyle w:val="Hyperlink"/>
            <w:rFonts w:ascii="Cambria" w:hAnsi="Cambria"/>
            <w:sz w:val="24"/>
            <w:szCs w:val="24"/>
            <w:lang w:val="en-GB"/>
          </w:rPr>
          <w:t>centre@seelawschool.org</w:t>
        </w:r>
      </w:hyperlink>
      <w:hyperlink r:id="rId8" w:history="1"/>
      <w:r w:rsidRPr="006138B1">
        <w:rPr>
          <w:rFonts w:ascii="Cambria" w:hAnsi="Cambria"/>
          <w:sz w:val="24"/>
          <w:szCs w:val="24"/>
        </w:rPr>
        <w:t>.</w:t>
      </w:r>
      <w:r w:rsidR="00B60822" w:rsidRPr="006138B1">
        <w:rPr>
          <w:rFonts w:ascii="Cambria" w:hAnsi="Cambria"/>
          <w:spacing w:val="1"/>
          <w:sz w:val="24"/>
          <w:szCs w:val="24"/>
        </w:rPr>
        <w:t xml:space="preserve"> </w:t>
      </w:r>
      <w:r w:rsidR="00B60822" w:rsidRPr="006138B1">
        <w:rPr>
          <w:rFonts w:ascii="Cambria" w:hAnsi="Cambria"/>
          <w:b/>
          <w:spacing w:val="1"/>
          <w:sz w:val="24"/>
          <w:szCs w:val="24"/>
          <w:u w:val="single"/>
        </w:rPr>
        <w:t xml:space="preserve">The submission </w:t>
      </w:r>
      <w:r w:rsidR="00B60822" w:rsidRPr="006138B1">
        <w:rPr>
          <w:rFonts w:ascii="Cambria" w:hAnsi="Cambria"/>
          <w:b/>
          <w:sz w:val="24"/>
          <w:szCs w:val="24"/>
          <w:u w:val="single"/>
        </w:rPr>
        <w:t>d</w:t>
      </w:r>
      <w:r w:rsidR="00B60822" w:rsidRPr="006138B1">
        <w:rPr>
          <w:rFonts w:ascii="Cambria" w:hAnsi="Cambria"/>
          <w:b/>
          <w:spacing w:val="-1"/>
          <w:sz w:val="24"/>
          <w:szCs w:val="24"/>
          <w:u w:val="single"/>
        </w:rPr>
        <w:t>ea</w:t>
      </w:r>
      <w:r w:rsidR="00B60822" w:rsidRPr="006138B1">
        <w:rPr>
          <w:rFonts w:ascii="Cambria" w:hAnsi="Cambria"/>
          <w:b/>
          <w:sz w:val="24"/>
          <w:szCs w:val="24"/>
          <w:u w:val="single"/>
        </w:rPr>
        <w:t>d</w:t>
      </w:r>
      <w:r w:rsidR="00B60822" w:rsidRPr="006138B1">
        <w:rPr>
          <w:rFonts w:ascii="Cambria" w:hAnsi="Cambria"/>
          <w:b/>
          <w:spacing w:val="3"/>
          <w:sz w:val="24"/>
          <w:szCs w:val="24"/>
          <w:u w:val="single"/>
        </w:rPr>
        <w:t>l</w:t>
      </w:r>
      <w:r w:rsidR="00B60822" w:rsidRPr="006138B1">
        <w:rPr>
          <w:rFonts w:ascii="Cambria" w:hAnsi="Cambria"/>
          <w:b/>
          <w:sz w:val="24"/>
          <w:szCs w:val="24"/>
          <w:u w:val="single"/>
        </w:rPr>
        <w:t>ine</w:t>
      </w:r>
      <w:r w:rsidR="00B60822" w:rsidRPr="006138B1">
        <w:rPr>
          <w:rFonts w:ascii="Cambria" w:hAnsi="Cambria"/>
          <w:b/>
          <w:spacing w:val="2"/>
          <w:sz w:val="24"/>
          <w:szCs w:val="24"/>
          <w:u w:val="single"/>
        </w:rPr>
        <w:t xml:space="preserve"> </w:t>
      </w:r>
      <w:r w:rsidR="00B60822" w:rsidRPr="006138B1">
        <w:rPr>
          <w:rFonts w:ascii="Cambria" w:hAnsi="Cambria"/>
          <w:b/>
          <w:sz w:val="24"/>
          <w:szCs w:val="24"/>
          <w:u w:val="single"/>
        </w:rPr>
        <w:t>is set for 15</w:t>
      </w:r>
      <w:r w:rsidR="00B60822" w:rsidRPr="006138B1">
        <w:rPr>
          <w:rFonts w:ascii="Cambria" w:hAnsi="Cambria"/>
          <w:b/>
          <w:sz w:val="24"/>
          <w:szCs w:val="24"/>
          <w:u w:val="single"/>
          <w:vertAlign w:val="superscript"/>
        </w:rPr>
        <w:t>th</w:t>
      </w:r>
      <w:r w:rsidR="00B60822" w:rsidRPr="006138B1">
        <w:rPr>
          <w:rFonts w:ascii="Cambria" w:hAnsi="Cambria"/>
          <w:b/>
          <w:sz w:val="24"/>
          <w:szCs w:val="24"/>
          <w:u w:val="single"/>
        </w:rPr>
        <w:t xml:space="preserve"> March 2012.</w:t>
      </w:r>
      <w:r w:rsidR="00B60822" w:rsidRPr="006138B1">
        <w:rPr>
          <w:rFonts w:ascii="Cambria" w:hAnsi="Cambria"/>
          <w:sz w:val="24"/>
          <w:szCs w:val="24"/>
        </w:rPr>
        <w:t xml:space="preserve"> D</w:t>
      </w:r>
      <w:r w:rsidR="00B60822" w:rsidRPr="006138B1">
        <w:rPr>
          <w:rFonts w:ascii="Cambria" w:hAnsi="Cambria"/>
          <w:spacing w:val="-1"/>
          <w:sz w:val="24"/>
          <w:szCs w:val="24"/>
        </w:rPr>
        <w:t>ec</w:t>
      </w:r>
      <w:r w:rsidR="00B60822" w:rsidRPr="006138B1">
        <w:rPr>
          <w:rFonts w:ascii="Cambria" w:hAnsi="Cambria"/>
          <w:sz w:val="24"/>
          <w:szCs w:val="24"/>
        </w:rPr>
        <w:t>isi</w:t>
      </w:r>
      <w:r w:rsidR="00B60822" w:rsidRPr="006138B1">
        <w:rPr>
          <w:rFonts w:ascii="Cambria" w:hAnsi="Cambria"/>
          <w:spacing w:val="-1"/>
          <w:sz w:val="24"/>
          <w:szCs w:val="24"/>
        </w:rPr>
        <w:t>on</w:t>
      </w:r>
      <w:r w:rsidR="00B60822" w:rsidRPr="006138B1">
        <w:rPr>
          <w:rFonts w:ascii="Cambria" w:hAnsi="Cambria"/>
          <w:sz w:val="24"/>
          <w:szCs w:val="24"/>
        </w:rPr>
        <w:t>s</w:t>
      </w:r>
      <w:r w:rsidR="00B60822" w:rsidRPr="006138B1">
        <w:rPr>
          <w:rFonts w:ascii="Cambria" w:hAnsi="Cambria"/>
          <w:spacing w:val="2"/>
          <w:sz w:val="24"/>
          <w:szCs w:val="24"/>
        </w:rPr>
        <w:t xml:space="preserve"> upon acceptance or rejection of papers </w:t>
      </w:r>
      <w:r w:rsidR="00B60822" w:rsidRPr="006138B1">
        <w:rPr>
          <w:rFonts w:ascii="Cambria" w:hAnsi="Cambria"/>
          <w:sz w:val="24"/>
          <w:szCs w:val="24"/>
        </w:rPr>
        <w:t xml:space="preserve">will </w:t>
      </w:r>
      <w:r w:rsidR="00B60822" w:rsidRPr="006138B1">
        <w:rPr>
          <w:rFonts w:ascii="Cambria" w:hAnsi="Cambria"/>
          <w:spacing w:val="-1"/>
          <w:sz w:val="24"/>
          <w:szCs w:val="24"/>
        </w:rPr>
        <w:t>b</w:t>
      </w:r>
      <w:r w:rsidR="00B60822" w:rsidRPr="006138B1">
        <w:rPr>
          <w:rFonts w:ascii="Cambria" w:hAnsi="Cambria"/>
          <w:sz w:val="24"/>
          <w:szCs w:val="24"/>
        </w:rPr>
        <w:t>e m</w:t>
      </w:r>
      <w:r w:rsidR="00B60822" w:rsidRPr="006138B1">
        <w:rPr>
          <w:rFonts w:ascii="Cambria" w:hAnsi="Cambria"/>
          <w:spacing w:val="-1"/>
          <w:sz w:val="24"/>
          <w:szCs w:val="24"/>
        </w:rPr>
        <w:t>ad</w:t>
      </w:r>
      <w:r w:rsidR="00B60822" w:rsidRPr="006138B1">
        <w:rPr>
          <w:rFonts w:ascii="Cambria" w:hAnsi="Cambria"/>
          <w:sz w:val="24"/>
          <w:szCs w:val="24"/>
        </w:rPr>
        <w:t xml:space="preserve">e and author/s will be notified </w:t>
      </w:r>
      <w:r w:rsidR="00B60822" w:rsidRPr="006138B1">
        <w:rPr>
          <w:rFonts w:ascii="Cambria" w:hAnsi="Cambria"/>
          <w:spacing w:val="2"/>
          <w:sz w:val="24"/>
          <w:szCs w:val="24"/>
        </w:rPr>
        <w:t>b</w:t>
      </w:r>
      <w:r w:rsidR="00B60822" w:rsidRPr="006138B1">
        <w:rPr>
          <w:rFonts w:ascii="Cambria" w:hAnsi="Cambria"/>
          <w:sz w:val="24"/>
          <w:szCs w:val="24"/>
        </w:rPr>
        <w:t>y 1</w:t>
      </w:r>
      <w:r w:rsidR="00B60822" w:rsidRPr="006138B1">
        <w:rPr>
          <w:rFonts w:ascii="Cambria" w:hAnsi="Cambria"/>
          <w:sz w:val="24"/>
          <w:szCs w:val="24"/>
          <w:vertAlign w:val="superscript"/>
        </w:rPr>
        <w:t>st</w:t>
      </w:r>
      <w:r w:rsidR="00B60822" w:rsidRPr="006138B1">
        <w:rPr>
          <w:rFonts w:ascii="Cambria" w:hAnsi="Cambria"/>
          <w:sz w:val="24"/>
          <w:szCs w:val="24"/>
        </w:rPr>
        <w:t xml:space="preserve"> May 2012.</w:t>
      </w:r>
    </w:p>
    <w:p w:rsidR="0095425C" w:rsidRPr="006138B1" w:rsidRDefault="0095425C" w:rsidP="0095425C">
      <w:pPr>
        <w:widowControl w:val="0"/>
        <w:autoSpaceDE w:val="0"/>
        <w:autoSpaceDN w:val="0"/>
        <w:adjustRightInd w:val="0"/>
        <w:spacing w:after="0" w:line="240" w:lineRule="auto"/>
        <w:ind w:left="116" w:right="95"/>
        <w:jc w:val="both"/>
        <w:rPr>
          <w:rFonts w:ascii="Cambria" w:hAnsi="Cambria" w:cs="Arial"/>
          <w:sz w:val="18"/>
          <w:szCs w:val="18"/>
          <w:lang w:val="en-GB"/>
        </w:rPr>
      </w:pPr>
    </w:p>
    <w:p w:rsidR="006C01A7" w:rsidRPr="006138B1" w:rsidRDefault="006C01A7">
      <w:pPr>
        <w:widowControl w:val="0"/>
        <w:autoSpaceDE w:val="0"/>
        <w:autoSpaceDN w:val="0"/>
        <w:adjustRightInd w:val="0"/>
        <w:spacing w:before="13" w:after="0" w:line="220" w:lineRule="exact"/>
        <w:rPr>
          <w:rFonts w:ascii="Cambria" w:hAnsi="Cambria"/>
        </w:rPr>
      </w:pPr>
    </w:p>
    <w:sectPr w:rsidR="006C01A7" w:rsidRPr="006138B1" w:rsidSect="005A7263">
      <w:headerReference w:type="default" r:id="rId9"/>
      <w:footerReference w:type="default" r:id="rId10"/>
      <w:type w:val="continuous"/>
      <w:pgSz w:w="11920" w:h="16840"/>
      <w:pgMar w:top="580" w:right="1280" w:bottom="280" w:left="13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23C" w:rsidRDefault="002B323C" w:rsidP="005E7DCF">
      <w:pPr>
        <w:spacing w:after="0" w:line="240" w:lineRule="auto"/>
      </w:pPr>
      <w:r>
        <w:separator/>
      </w:r>
    </w:p>
  </w:endnote>
  <w:endnote w:type="continuationSeparator" w:id="0">
    <w:p w:rsidR="002B323C" w:rsidRDefault="002B323C" w:rsidP="005E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B6C" w:rsidRDefault="00C51B6C">
    <w:pPr>
      <w:pStyle w:val="Footer"/>
    </w:pPr>
    <w:r>
      <w:rPr>
        <w:noProof/>
      </w:rPr>
      <w:drawing>
        <wp:inline distT="0" distB="0" distL="0" distR="0">
          <wp:extent cx="2143125" cy="904875"/>
          <wp:effectExtent l="19050" t="0" r="9525" b="0"/>
          <wp:docPr id="6" name="Picture 1" descr="gizlogo-unternehmen-d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zlogo-unternehmen-de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2266950" cy="904875"/>
          <wp:effectExtent l="1905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23C" w:rsidRDefault="002B323C" w:rsidP="005E7DCF">
      <w:pPr>
        <w:spacing w:after="0" w:line="240" w:lineRule="auto"/>
      </w:pPr>
      <w:r>
        <w:separator/>
      </w:r>
    </w:p>
  </w:footnote>
  <w:footnote w:type="continuationSeparator" w:id="0">
    <w:p w:rsidR="002B323C" w:rsidRDefault="002B323C" w:rsidP="005E7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DCF" w:rsidRPr="005E7DCF" w:rsidRDefault="00371C35" w:rsidP="005E7DCF">
    <w:pPr>
      <w:pStyle w:val="Header"/>
      <w:ind w:left="-900"/>
      <w:jc w:val="center"/>
      <w:rPr>
        <w:szCs w:val="2"/>
      </w:rPr>
    </w:pPr>
    <w:r>
      <w:rPr>
        <w:noProof/>
        <w:szCs w:val="2"/>
      </w:rPr>
      <w:drawing>
        <wp:inline distT="0" distB="0" distL="0" distR="0">
          <wp:extent cx="2352675" cy="962025"/>
          <wp:effectExtent l="0" t="0" r="9525" b="0"/>
          <wp:docPr id="1" name="Picture 10" descr="seels log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eels logo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Cs w:val="2"/>
      </w:rPr>
      <w:drawing>
        <wp:inline distT="0" distB="0" distL="0" distR="0">
          <wp:extent cx="3286125" cy="419100"/>
          <wp:effectExtent l="0" t="0" r="0" b="0"/>
          <wp:docPr id="2" name="Picture 11" descr="seels napis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eels napisa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612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2A3E5E"/>
    <w:rsid w:val="00040D13"/>
    <w:rsid w:val="001E0FF6"/>
    <w:rsid w:val="00215E90"/>
    <w:rsid w:val="002A3E5E"/>
    <w:rsid w:val="002B323C"/>
    <w:rsid w:val="002E6E18"/>
    <w:rsid w:val="00371C35"/>
    <w:rsid w:val="00562C03"/>
    <w:rsid w:val="005A7263"/>
    <w:rsid w:val="005E7DCF"/>
    <w:rsid w:val="006138B1"/>
    <w:rsid w:val="006304DC"/>
    <w:rsid w:val="006C01A7"/>
    <w:rsid w:val="00915A24"/>
    <w:rsid w:val="0095425C"/>
    <w:rsid w:val="00B60822"/>
    <w:rsid w:val="00B776CF"/>
    <w:rsid w:val="00C51B6C"/>
    <w:rsid w:val="00CD0C45"/>
    <w:rsid w:val="00D17CB1"/>
    <w:rsid w:val="00DD4C69"/>
    <w:rsid w:val="00E03644"/>
    <w:rsid w:val="00EA5C2E"/>
    <w:rsid w:val="00F61553"/>
    <w:rsid w:val="00FE3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26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DC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7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DC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D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42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94523%20=%20'info'%20+%20'@';%20addy94523%20=%20addy94523%20+%20'europeanperspecitves'%20+%20'.'%20+%20'si';%20document.write(%20'%3ca%20'%20+%20path%20+%20'\''%20+%20prefix%20+%20addy94523%20+%20suffix%20+%20'\''%20+%20attribs%20+%20'%3e'%20);%20document.write(%20addy94523%20);%20document.write(%20'%3c\/a%3e'%20);%20//--%3e%20%3c/script%3e%3cscript%20language='JavaScript'%20type='text/javascript'%3e%20%3c!--%20document.write(%20'%3cspan%20style=\'display:%20none;\'%3e'%20);%20//--%3e%20%3c/script%3eThis%20e-mail%20address%20is%20being%20protected%20from%20spambots.%20You%20need%20JavaScript%20enabled%20to%20view%20it%20%3cscript%20language='JavaScript'%20type='text/javascript'%3e%20%3c!--%20document.write(%20'%3c/'%20);%20document.write(%20'span%3e'%20);%20//--%3e%20%3c/script%3e.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ntre@seelawschool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elawschool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Links>
    <vt:vector size="18" baseType="variant">
      <vt:variant>
        <vt:i4>6684742</vt:i4>
      </vt:variant>
      <vt:variant>
        <vt:i4>6</vt:i4>
      </vt:variant>
      <vt:variant>
        <vt:i4>0</vt:i4>
      </vt:variant>
      <vt:variant>
        <vt:i4>5</vt:i4>
      </vt:variant>
      <vt:variant>
        <vt:lpwstr>mailto:%20%3cscript%20language='JavaScript'%20type='text/javascript'%3e%20%3c!--%20var%20prefix%20=%20'mailto:';%20var%20suffix%20=%20'';%20var%20attribs%20=%20'';%20var%20path%20=%20'hr'%20+%20'ef'%20+%20'=';%20var%20addy94523%20=%20'info'%20+%20'@';%20addy94523%20=%20addy94523%20+%20'europeanperspecitves'%20+%20'.'%20+%20'si';%20document.write(%20'%3ca%20'%20+%20path%20+%20'\''%20+%20prefix%20+%20addy94523%20+%20suffix%20+%20'\''%20+%20attribs%20+%20'%3e'%20);%20document.write(%20addy94523%20);%20document.write(%20'%3c\/a%3e'%20);%20//--%3e%20%3c/script%3e%3cscript%20language='JavaScript'%20type='text/javascript'%3e%20%3c!--%20document.write(%20'%3cspan%20style=\'display:%20none;\'%3e'%20);%20//--%3e%20%3c/script%3eThis%20e-mail%20address%20is%20being%20protected%20from%20spambots.%20You%20need%20JavaScript%20enabled%20to%20view%20it%20%3cscript%20language='JavaScript'%20type='text/javascript'%3e%20%3c!--%20document.write(%20'%3c/'%20);%20document.write(%20'span%3e'%20);%20//--%3e%20%3c/script%3e.</vt:lpwstr>
      </vt:variant>
      <vt:variant>
        <vt:lpwstr/>
      </vt:variant>
      <vt:variant>
        <vt:i4>4915297</vt:i4>
      </vt:variant>
      <vt:variant>
        <vt:i4>3</vt:i4>
      </vt:variant>
      <vt:variant>
        <vt:i4>0</vt:i4>
      </vt:variant>
      <vt:variant>
        <vt:i4>5</vt:i4>
      </vt:variant>
      <vt:variant>
        <vt:lpwstr>mailto:centre@seelawschool.org</vt:lpwstr>
      </vt:variant>
      <vt:variant>
        <vt:lpwstr/>
      </vt:variant>
      <vt:variant>
        <vt:i4>5963846</vt:i4>
      </vt:variant>
      <vt:variant>
        <vt:i4>0</vt:i4>
      </vt:variant>
      <vt:variant>
        <vt:i4>0</vt:i4>
      </vt:variant>
      <vt:variant>
        <vt:i4>5</vt:i4>
      </vt:variant>
      <vt:variant>
        <vt:lpwstr>http://www.seelawschool.org/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papers</dc:title>
  <dc:subject>SEE Law Journal</dc:subject>
  <dc:creator>Dr. Veronika Efremova</dc:creator>
  <cp:keywords>Spring Edition 2012</cp:keywords>
  <cp:lastModifiedBy>user</cp:lastModifiedBy>
  <cp:revision>6</cp:revision>
  <dcterms:created xsi:type="dcterms:W3CDTF">2012-01-17T12:00:00Z</dcterms:created>
  <dcterms:modified xsi:type="dcterms:W3CDTF">2012-01-17T14:21:00Z</dcterms:modified>
</cp:coreProperties>
</file>