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64" w:rsidRPr="00D83064" w:rsidRDefault="00D83064" w:rsidP="00D83064">
      <w:pPr>
        <w:spacing w:after="0" w:line="240" w:lineRule="auto"/>
        <w:jc w:val="center"/>
        <w:rPr>
          <w:rFonts w:ascii="Times New Roman" w:hAnsi="Times New Roman" w:cs="Times New Roman"/>
          <w:lang w:val="sr-Cyrl-RS"/>
        </w:rPr>
      </w:pPr>
      <w:r w:rsidRPr="00D83064">
        <w:rPr>
          <w:rFonts w:ascii="Times New Roman" w:hAnsi="Times New Roman" w:cs="Times New Roman"/>
          <w:sz w:val="32"/>
        </w:rPr>
        <w:t xml:space="preserve">ПРОМЕТ </w:t>
      </w:r>
      <w:r w:rsidRPr="00D83064">
        <w:rPr>
          <w:rFonts w:ascii="Times New Roman" w:hAnsi="Times New Roman" w:cs="Times New Roman"/>
          <w:sz w:val="32"/>
          <w:lang w:val="sr-Cyrl-RS"/>
        </w:rPr>
        <w:t>ПАТЕНТА</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r w:rsidRPr="00D83064">
        <w:rPr>
          <w:rFonts w:ascii="Times New Roman" w:hAnsi="Times New Roman" w:cs="Times New Roman"/>
          <w:b/>
        </w:rPr>
        <w:t>Пренос права</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44</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Право на подношење пријаве, права из пријаве, као и право на патент или мали патент могу бити у целини или делимично предмет преноса права на основу уговора о преносу права, статусне промене носиоца права или подносиоца пријаве, као и наслеђивања, судске или административне одлуке.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Пренос права из става 1. овог члана уписује се у одговарајући регистар надлежног органа на захтев носиоца права, подносиоца пријаве или стицаоца права.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Упис преноса права из става 1. овог члана у одговарајући регистар надлежног органа, производи правно дејство према трећим лицима.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О упису преноса права из става 1. овог члана у одговарајући регистар надлежног органа доноси се посебно решење.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 питања у вези са уговором о преносу права која нису уређена овим законом примењују се одредбе закона којим се уређују облигациони односи.</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r w:rsidRPr="00D83064">
        <w:rPr>
          <w:rFonts w:ascii="Times New Roman" w:hAnsi="Times New Roman" w:cs="Times New Roman"/>
          <w:b/>
        </w:rPr>
        <w:t>Садржина уговора о преносу права</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45</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Уговором о преносу права из члана 44. став 1. овог закона подносилац пријаве или носилац права може пренети права из пријаве, као и права на патент или мали патент.</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Уговор о преносу права из става 1. овог члана саставља се у писаној форми и нарочито садржи: датум закључења, име и презиме или пословно име уговорних страна, пребивалиште, боравиште или седиште уговорних страна, број пријаве или регистарски број признатог права, као и висину накнаде, ако је уговорена.</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r w:rsidRPr="00D83064">
        <w:rPr>
          <w:rFonts w:ascii="Times New Roman" w:hAnsi="Times New Roman" w:cs="Times New Roman"/>
          <w:b/>
        </w:rPr>
        <w:t>Лиценца</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46</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Права из пријаве, као и право на патент или мали патент могу, са ограничењима или без њих, бити предмет уступања на основу уговора о лиценци.</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Ако су више лица носиоци права из става 1. овог члана на истом проналаску за закључивање уговора о лиценци потребан је пристанак свих, осим ако између њих није другачије уговорено.</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Уговор о лиценци из става 1. овог члана саставља се у писаној форми и нарочито садржи: датум закључења, име и презиме или пословно име уговорних страна, пребивалиште, боравиште или седиште уговорних страна, број пријаве или регистарски број признатог права, време трајања лиценце и обим лиценце.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Уговор о лиценци из става 1. овог члана уписује се у одговарајући регистар надлежног органа на захтев носиоца права, подносиоца пријаве или стицаоца права.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lastRenderedPageBreak/>
        <w:t>Упис уговора о лиценци из става 1. овог члана у одговарајући регистар надлежног органа производи правно дејство према трећим лицима.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О упису уговора о лиценци из става 1. овог члана у одговарајући регистар надлежног органа доноси се посебно решење.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 питања у вези са уговором о лиценци која нису уређена овим законом примењују се одредбе закона којим се уређују облигациони односи.</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r w:rsidRPr="00D83064">
        <w:rPr>
          <w:rFonts w:ascii="Times New Roman" w:hAnsi="Times New Roman" w:cs="Times New Roman"/>
          <w:b/>
        </w:rPr>
        <w:t>З</w:t>
      </w:r>
      <w:r w:rsidRPr="00D83064">
        <w:rPr>
          <w:rFonts w:ascii="Times New Roman" w:hAnsi="Times New Roman" w:cs="Times New Roman"/>
          <w:b/>
        </w:rPr>
        <w:t>алога</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47</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Патент, мали патент, као и право из пријаве може бити предмет залоге и то на основу уговора о залози, одлуке суда или одлуке другог државног органа.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Уговор о залози из става 1. овог члана саставља се у писаној форми и садржи нарочито: датум закључења, име и презиме или пословно име уговорних страна, пребивалиште, боравиште или седиште повериоца и залогодавца, као и дужника ако су то различита лица, број пријаве или регистарски број признатог права и податке о потраживању које се обезбеђује заложним правом.</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Залога из става 1. овог члана уписује се у одговарајући регистар надлежног органа на захтев носиоца права или подносиоца пријаве или заложног повериоца.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 регистар надлежног органа уписују се нарочито следећи подаци: подаци о залогодавцу и дужнику, када то нису иста лица, као и подаци о заложном повериоцу; број пријаве или регистарски број признатог права; подаци о потраживању које се обезбеђује заложним правом уз назначење основног и максималног износа.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 регистар надлежног органа уписују се и све промене података из става 4. овог члана.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О упису залоге из става 1. овог члана у одговарајући регистар надлежног органа доноси се посебно решење.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Поверилац стиче заложно право уписом у одговарајући регистар надлежног органа.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 сва питања која нису регулисана овим законом примењују се прописи којима се уређује бездржавинска залога, облигациони и својинскоправни односи.</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Надлежни орган ближе прописује врсту података из става 4. овог члана који се уписују у регистар надлежног органа.</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r w:rsidRPr="00D83064">
        <w:rPr>
          <w:rFonts w:ascii="Times New Roman" w:hAnsi="Times New Roman" w:cs="Times New Roman"/>
          <w:b/>
        </w:rPr>
        <w:t>Поступак за упис преноса права, лиценце и залоге</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48</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Поступак за упис преноса права, лиценце и залоге, покреће се писаним захтевом.</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Захтев из става 1. овог члана садржи нарочито: регистарски број патента или малог патента или број пријаве; податке о носиоцу права или подносиоцу пријаве; назначење да се тражи упис преноса патента или малог патента или права из пријаве или назначење права чији се упис тражи.</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Уз захтев из става 1. овог члана подноси се и:</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1) доказ о правном основу уписа који се тражи;</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2) пуномоћје, ако се поступак за упис преноса права, лиценце или залоге покреће преко пуномоћника;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3) доказ о уплати таксе за решење о захтеву за упис преноса права, лиценце или залоге.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Једним захтевом из става 1. овог члана може се тражити упис преноса права који се односи на више патената или малих патената или више пријава, под условом да су ранији носилац права и нови носилац права исти у сваком патенту или малом патенту или пријави и да су регистарски бројеви или бројеви пријава назначени у захтеву.</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Једним захтевом из става 1. овог члана може се затражити упис лиценце или залоге, који се односи на више патената или малих патената или више пријава, под условом да су носилац права и стицалац лиценце или залоге исти у сваком патенту или малом патенту или пријави и да су регистарски бројеви или бројеви пријава назначени у захтеву.</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Надлежни орган ближе прописује садржину захтева из става 1. овог члана, одређује прилоге који се подносе уз захтев и прописује њихову садржину.</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r w:rsidRPr="00D83064">
        <w:rPr>
          <w:rFonts w:ascii="Times New Roman" w:hAnsi="Times New Roman" w:cs="Times New Roman"/>
          <w:b/>
        </w:rPr>
        <w:t>Испитивање уредности захтева за упис преноса права, лиценце и залоге</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49</w:t>
      </w:r>
    </w:p>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Захтев за упис преноса права, лиценце или залоге је уредан ако садржи податке из члана 48. овог закона.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Ако захтев за упис преноса права, лиценце или залоге није уредан, надлежни орган ће писаним путем позвати подносиоца захтева да исти уреди у року од два месеца од дана пријема позива.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 образложени захтев подносиоца захтева за упис преноса права, лиценце или залоге, уз који се доставља доказ о уплати прописане таксе, надлежни орган ће продужити рок из става 2. овог члана за време које сматра оправданим, али не дуже од два месеца.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Ако подносилац захтева у остављеном року не поступи по позиву, надлежни орган ће захтев за упис преноса права, лиценце или залоге закључком одбацити.</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center"/>
        <w:rPr>
          <w:rFonts w:ascii="Times New Roman" w:hAnsi="Times New Roman" w:cs="Times New Roman"/>
          <w:b/>
          <w:lang w:val="sr-Cyrl-RS"/>
        </w:rPr>
      </w:pPr>
      <w:bookmarkStart w:id="0" w:name="_GoBack"/>
      <w:r w:rsidRPr="00D83064">
        <w:rPr>
          <w:rFonts w:ascii="Times New Roman" w:hAnsi="Times New Roman" w:cs="Times New Roman"/>
          <w:b/>
        </w:rPr>
        <w:t>Одлучивање по захтеву за упис преноса права, лиценце и залоге</w:t>
      </w:r>
    </w:p>
    <w:p w:rsidR="00D83064" w:rsidRPr="00D83064" w:rsidRDefault="00D83064" w:rsidP="00D83064">
      <w:pPr>
        <w:spacing w:after="0" w:line="240" w:lineRule="auto"/>
        <w:jc w:val="center"/>
        <w:rPr>
          <w:rFonts w:ascii="Times New Roman" w:hAnsi="Times New Roman" w:cs="Times New Roman"/>
          <w:b/>
        </w:rPr>
      </w:pPr>
      <w:r w:rsidRPr="00D83064">
        <w:rPr>
          <w:rFonts w:ascii="Times New Roman" w:hAnsi="Times New Roman" w:cs="Times New Roman"/>
          <w:b/>
        </w:rPr>
        <w:t>Члан 50</w:t>
      </w:r>
    </w:p>
    <w:bookmarkEnd w:id="0"/>
    <w:p w:rsidR="00D83064" w:rsidRPr="00D83064" w:rsidRDefault="00D83064" w:rsidP="00D83064">
      <w:pPr>
        <w:spacing w:after="0" w:line="240" w:lineRule="auto"/>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Ако је захтев за упис преноса права, лиценце или залоге уредан у смислу члана 49. овог закона, надлежни орган испитује да ли правни основ на коме се тај захтев заснива испуњава законом прописане услове за упис преноса права, лиценце или залоге.</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Ако нема правног основа за упис преноса права, лиценце или залоге или ако се подаци из захтева не слажу са подацима у регистрима, надлежни орган ће писаним путем обавестити подносиоца захтева о разлозима због којих се упис не може извршити и позваће га да се у року од два месеца од дана пријема позива изјасни о тим разлозима.</w:t>
      </w:r>
    </w:p>
    <w:p w:rsidR="00D83064" w:rsidRPr="00D83064" w:rsidRDefault="00D83064" w:rsidP="00D83064">
      <w:pPr>
        <w:spacing w:after="0" w:line="240" w:lineRule="auto"/>
        <w:jc w:val="both"/>
        <w:rPr>
          <w:rFonts w:ascii="Times New Roman" w:hAnsi="Times New Roman" w:cs="Times New Roman"/>
        </w:rPr>
      </w:pPr>
    </w:p>
    <w:p w:rsidR="00D83064"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lastRenderedPageBreak/>
        <w:t>На образложени захтев подносиоца захтева за упис преноса права, лиценце или залоге, уз плаћање прописане таксе, надлежни орган ће продужити рок из става 2. овог члана за време које сматра оправданим, али не дуже од два месеца.</w:t>
      </w:r>
    </w:p>
    <w:p w:rsidR="00D83064" w:rsidRPr="00D83064" w:rsidRDefault="00D83064" w:rsidP="00D83064">
      <w:pPr>
        <w:spacing w:after="0" w:line="240" w:lineRule="auto"/>
        <w:jc w:val="both"/>
        <w:rPr>
          <w:rFonts w:ascii="Times New Roman" w:hAnsi="Times New Roman" w:cs="Times New Roman"/>
        </w:rPr>
      </w:pPr>
    </w:p>
    <w:p w:rsidR="00252E4F" w:rsidRPr="00D83064" w:rsidRDefault="00D83064" w:rsidP="00D83064">
      <w:pPr>
        <w:spacing w:after="0" w:line="240" w:lineRule="auto"/>
        <w:jc w:val="both"/>
        <w:rPr>
          <w:rFonts w:ascii="Times New Roman" w:hAnsi="Times New Roman" w:cs="Times New Roman"/>
        </w:rPr>
      </w:pPr>
      <w:r w:rsidRPr="00D83064">
        <w:rPr>
          <w:rFonts w:ascii="Times New Roman" w:hAnsi="Times New Roman" w:cs="Times New Roman"/>
        </w:rPr>
        <w:t>Надлежни орган ће решењем одбити захтев за упис преноса права, лиценце или залоге ако се подносилац захтева у остављеном року не изјасни о разлозима због којих се упис не може одобрити или се изјасни, а надлежни орган и даље сматра да се упис не може одобрити.</w:t>
      </w:r>
    </w:p>
    <w:sectPr w:rsidR="00252E4F" w:rsidRPr="00D83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64"/>
    <w:rsid w:val="001E5001"/>
    <w:rsid w:val="001F3A90"/>
    <w:rsid w:val="00252E4F"/>
    <w:rsid w:val="00403FC1"/>
    <w:rsid w:val="00A904E7"/>
    <w:rsid w:val="00BF5A0A"/>
    <w:rsid w:val="00D8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Milosavljevic</dc:creator>
  <cp:lastModifiedBy>Nikola Milosavljevic</cp:lastModifiedBy>
  <cp:revision>1</cp:revision>
  <dcterms:created xsi:type="dcterms:W3CDTF">2024-02-20T20:00:00Z</dcterms:created>
  <dcterms:modified xsi:type="dcterms:W3CDTF">2024-02-20T20:11:00Z</dcterms:modified>
</cp:coreProperties>
</file>