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E6A" w:rsidRPr="00F879A8" w:rsidRDefault="00942E6A" w:rsidP="00F879A8">
      <w:pPr>
        <w:pStyle w:val="a0"/>
        <w:spacing w:line="360" w:lineRule="auto"/>
        <w:rPr>
          <w:b/>
          <w:color w:val="FF0000"/>
          <w:szCs w:val="24"/>
          <w:lang w:val="sr-Cyrl-RS"/>
        </w:rPr>
      </w:pPr>
      <w:r w:rsidRPr="00F879A8">
        <w:rPr>
          <w:b/>
          <w:color w:val="FF0000"/>
          <w:szCs w:val="24"/>
          <w:lang w:val="sr-Cyrl-RS"/>
        </w:rPr>
        <w:t>наставни предмет: управни надзор</w:t>
      </w:r>
    </w:p>
    <w:p w:rsidR="00942E6A" w:rsidRPr="00F879A8" w:rsidRDefault="00942E6A" w:rsidP="00F879A8">
      <w:pPr>
        <w:pStyle w:val="a0"/>
        <w:spacing w:line="360" w:lineRule="auto"/>
        <w:rPr>
          <w:b/>
          <w:color w:val="FF0000"/>
          <w:szCs w:val="24"/>
          <w:lang w:val="sr-Cyrl-RS"/>
        </w:rPr>
      </w:pPr>
      <w:r w:rsidRPr="00F879A8">
        <w:rPr>
          <w:b/>
          <w:color w:val="FF0000"/>
          <w:szCs w:val="24"/>
          <w:lang w:val="sr-Cyrl-RS"/>
        </w:rPr>
        <w:t>Основне академске студије: општи смер и унутрашњи послови и безбедност</w:t>
      </w:r>
    </w:p>
    <w:p w:rsidR="00942E6A" w:rsidRPr="00F879A8" w:rsidRDefault="00942E6A" w:rsidP="00F879A8">
      <w:pPr>
        <w:pStyle w:val="a0"/>
        <w:spacing w:line="360" w:lineRule="auto"/>
        <w:rPr>
          <w:b/>
          <w:color w:val="FF0000"/>
          <w:szCs w:val="24"/>
          <w:u w:val="single"/>
          <w:lang w:val="sr-Cyrl-RS"/>
        </w:rPr>
      </w:pPr>
      <w:r w:rsidRPr="00F879A8">
        <w:rPr>
          <w:b/>
          <w:color w:val="FF0000"/>
          <w:szCs w:val="24"/>
          <w:u w:val="single"/>
          <w:lang w:val="sr-Cyrl-RS"/>
        </w:rPr>
        <w:t xml:space="preserve">НАПОМЕНА: МАТЕРИЈАЛ ЗА ПРЕДАВАЊА ЗА </w:t>
      </w:r>
      <w:r w:rsidRPr="00F879A8">
        <w:rPr>
          <w:b/>
          <w:color w:val="0070C0"/>
          <w:szCs w:val="24"/>
          <w:u w:val="single"/>
          <w:lang w:val="sr-Cyrl-RS"/>
        </w:rPr>
        <w:t xml:space="preserve">ПЕТАК </w:t>
      </w:r>
      <w:r w:rsidR="00B47A5D">
        <w:rPr>
          <w:b/>
          <w:color w:val="0070C0"/>
          <w:szCs w:val="24"/>
          <w:u w:val="single"/>
          <w:lang w:val="sr-Latn-RS"/>
        </w:rPr>
        <w:t>15</w:t>
      </w:r>
      <w:r w:rsidRPr="00F879A8">
        <w:rPr>
          <w:b/>
          <w:color w:val="0070C0"/>
          <w:szCs w:val="24"/>
          <w:u w:val="single"/>
          <w:lang w:val="sr-Cyrl-RS"/>
        </w:rPr>
        <w:t>.05.2020.</w:t>
      </w:r>
    </w:p>
    <w:p w:rsidR="00942E6A" w:rsidRDefault="00942E6A" w:rsidP="00F879A8">
      <w:pPr>
        <w:pStyle w:val="a0"/>
        <w:spacing w:line="360" w:lineRule="auto"/>
        <w:rPr>
          <w:b/>
          <w:color w:val="FF0000"/>
          <w:szCs w:val="24"/>
          <w:u w:val="single"/>
          <w:lang w:val="sr-Cyrl-RS"/>
        </w:rPr>
      </w:pPr>
      <w:r w:rsidRPr="00F879A8">
        <w:rPr>
          <w:b/>
          <w:color w:val="FF0000"/>
          <w:szCs w:val="24"/>
          <w:u w:val="single"/>
          <w:lang w:val="sr-Cyrl-RS"/>
        </w:rPr>
        <w:t>нАСТАВНИК: Проф. др Зоран Јовановић</w:t>
      </w:r>
    </w:p>
    <w:p w:rsidR="00B47A5D" w:rsidRPr="00F879A8" w:rsidRDefault="00B47A5D" w:rsidP="00F879A8">
      <w:pPr>
        <w:pStyle w:val="a0"/>
        <w:spacing w:line="360" w:lineRule="auto"/>
        <w:rPr>
          <w:b/>
          <w:color w:val="FF0000"/>
          <w:szCs w:val="24"/>
          <w:u w:val="single"/>
          <w:lang w:val="sr-Cyrl-RS"/>
        </w:rPr>
      </w:pPr>
      <w:bookmarkStart w:id="0" w:name="_GoBack"/>
      <w:bookmarkEnd w:id="0"/>
    </w:p>
    <w:p w:rsidR="00B47A5D" w:rsidRPr="00B47A5D" w:rsidRDefault="00B47A5D" w:rsidP="00B47A5D">
      <w:pPr>
        <w:pStyle w:val="22"/>
        <w:spacing w:line="360" w:lineRule="auto"/>
        <w:rPr>
          <w:rFonts w:ascii="Times New Roman" w:eastAsia="Cambria,Bold" w:hAnsi="Times New Roman"/>
          <w:bCs/>
          <w:sz w:val="24"/>
        </w:rPr>
      </w:pPr>
      <w:r w:rsidRPr="00B47A5D">
        <w:rPr>
          <w:rFonts w:ascii="Times New Roman" w:hAnsi="Times New Roman"/>
          <w:sz w:val="24"/>
        </w:rPr>
        <w:t xml:space="preserve">2.9. Инспекцијски надзор код </w:t>
      </w:r>
      <w:r w:rsidRPr="00B47A5D">
        <w:rPr>
          <w:rFonts w:ascii="Times New Roman" w:hAnsi="Times New Roman"/>
          <w:sz w:val="24"/>
        </w:rPr>
        <w:t xml:space="preserve">непознатог </w:t>
      </w:r>
      <w:r w:rsidRPr="00B47A5D">
        <w:rPr>
          <w:rFonts w:ascii="Times New Roman" w:hAnsi="Times New Roman"/>
          <w:sz w:val="24"/>
        </w:rPr>
        <w:t>и нерегистрованог субјекта</w:t>
      </w:r>
    </w:p>
    <w:p w:rsidR="00B47A5D" w:rsidRPr="00B47A5D" w:rsidRDefault="00B47A5D" w:rsidP="00B47A5D">
      <w:pPr>
        <w:pStyle w:val="a"/>
        <w:spacing w:line="360" w:lineRule="auto"/>
        <w:rPr>
          <w:sz w:val="24"/>
        </w:rPr>
      </w:pPr>
      <w:r w:rsidRPr="00B47A5D">
        <w:rPr>
          <w:sz w:val="24"/>
        </w:rPr>
        <w:t xml:space="preserve">Инспекцијско поступање према нерегистрованим субјектима, као субјектима код чијег обављања делатности и вршења активности постоје највеће непознанице и који носе највиши ризик по фер пословну конкуренцију, јавне буџете, здравље грађана, здраву животну средину, добробит животиња и друга заштићена добра и права има приоритет, а правила поступка према нерегистрованим субјектима су </w:t>
      </w:r>
      <w:r w:rsidRPr="00B47A5D">
        <w:rPr>
          <w:i/>
          <w:sz w:val="24"/>
        </w:rPr>
        <w:t>Законом</w:t>
      </w:r>
      <w:r w:rsidRPr="00B47A5D">
        <w:rPr>
          <w:sz w:val="24"/>
        </w:rPr>
        <w:t xml:space="preserve"> стриктно постављена. На овај начин стварају се законски услови, који у садејству са другим регулаторним, економским и институционалним мерама, треба да доведу до смањења сиве економије и већег степена законитости и безбедности пословања на тржишту и боље заштите од нелегалних и ризичних радњи.</w:t>
      </w:r>
    </w:p>
    <w:p w:rsidR="00B47A5D" w:rsidRPr="00B47A5D" w:rsidRDefault="00B47A5D" w:rsidP="00B47A5D">
      <w:pPr>
        <w:pStyle w:val="a"/>
        <w:spacing w:line="360" w:lineRule="auto"/>
        <w:rPr>
          <w:sz w:val="24"/>
        </w:rPr>
      </w:pPr>
      <w:r w:rsidRPr="00B47A5D">
        <w:rPr>
          <w:sz w:val="24"/>
        </w:rPr>
        <w:t>У нашем инспекцијском систему је, стога, посебно уређен и и</w:t>
      </w:r>
      <w:r w:rsidRPr="00B47A5D">
        <w:rPr>
          <w:bCs/>
          <w:sz w:val="24"/>
        </w:rPr>
        <w:t>нспекцијски надзор код непознатог субјекта</w:t>
      </w:r>
      <w:r w:rsidRPr="00B47A5D">
        <w:rPr>
          <w:sz w:val="24"/>
        </w:rPr>
        <w:t xml:space="preserve"> и посебан поступак према нерегистрованом субјекту. Посебним законима којима се уређује вршење инспекцијског надзора од стране одређених инспекција (пореска инспекција, тржишна инспекција, туристичка инспекција) у већој или мањој мери уређен је поступак према нерегистрованом субјекту.</w:t>
      </w:r>
      <w:r w:rsidRPr="00B47A5D">
        <w:rPr>
          <w:rStyle w:val="StyleFootnoteReference"/>
          <w:sz w:val="24"/>
        </w:rPr>
        <w:footnoteReference w:id="1"/>
      </w:r>
    </w:p>
    <w:p w:rsidR="00B47A5D" w:rsidRPr="00B47A5D" w:rsidRDefault="00B47A5D" w:rsidP="00B47A5D">
      <w:pPr>
        <w:pStyle w:val="a"/>
        <w:spacing w:line="360" w:lineRule="auto"/>
        <w:rPr>
          <w:sz w:val="24"/>
        </w:rPr>
      </w:pPr>
      <w:r w:rsidRPr="00B47A5D">
        <w:rPr>
          <w:sz w:val="24"/>
        </w:rPr>
        <w:lastRenderedPageBreak/>
        <w:t xml:space="preserve"> Системским уређењем овог поступка у </w:t>
      </w:r>
      <w:r w:rsidRPr="00B47A5D">
        <w:rPr>
          <w:i/>
          <w:sz w:val="24"/>
        </w:rPr>
        <w:t>Закону о инспекцијском надзору</w:t>
      </w:r>
      <w:r w:rsidRPr="00B47A5D">
        <w:rPr>
          <w:sz w:val="24"/>
        </w:rPr>
        <w:t xml:space="preserve"> попуњавају се законске празнине, отворена и спорна питања и недоумице које су постојале у пракси и даје се јасан и прецизан законски основ и изричита обавеза за све, а не само за неке инспекције, да спроводе инспекцијски надзор према нерегистрованим субјектима. Нерегистровани субјекат јесте лице које није уписано у одговарајући регистар или евиденцију, или лице које врши делатност без сагласности надлежног органа или организације или пријаве надлежном органу или организацији, а то је услов за вршење делатности. Наиме, најчешћи облици организовања за обављање делатности су привредна друштва и предузетници, за које, иначе, постоји обавеза уписа у регистар, пословања уз сагласност или пријаве надлежном органу.</w:t>
      </w:r>
    </w:p>
    <w:p w:rsidR="00B47A5D" w:rsidRPr="00B47A5D" w:rsidRDefault="00B47A5D" w:rsidP="00B47A5D">
      <w:pPr>
        <w:pStyle w:val="a"/>
        <w:spacing w:line="360" w:lineRule="auto"/>
        <w:rPr>
          <w:rFonts w:eastAsia="Cambria,Bold"/>
          <w:bCs/>
          <w:sz w:val="24"/>
        </w:rPr>
      </w:pPr>
      <w:r w:rsidRPr="00B47A5D">
        <w:rPr>
          <w:rFonts w:eastAsia="Cambria,Bold"/>
          <w:bCs/>
          <w:sz w:val="24"/>
        </w:rPr>
        <w:t>Над субјектом уписаним у основни регистар,</w:t>
      </w:r>
      <w:r w:rsidRPr="00B47A5D">
        <w:rPr>
          <w:rStyle w:val="StyleFootnoteReference"/>
          <w:rFonts w:eastAsia="Cambria,Bold"/>
          <w:sz w:val="24"/>
        </w:rPr>
        <w:footnoteReference w:id="2"/>
      </w:r>
      <w:r w:rsidRPr="00B47A5D">
        <w:rPr>
          <w:rFonts w:eastAsia="Cambria,Bold"/>
          <w:bCs/>
          <w:sz w:val="24"/>
        </w:rPr>
        <w:t xml:space="preserve"> који обавља одређену делатност или врши одређену активност, а није уписан у одговарајући посебни регистар</w:t>
      </w:r>
      <w:r w:rsidRPr="00B47A5D">
        <w:rPr>
          <w:rStyle w:val="StyleFootnoteReference"/>
          <w:rFonts w:eastAsia="Cambria,Bold"/>
          <w:sz w:val="24"/>
        </w:rPr>
        <w:footnoteReference w:id="3"/>
      </w:r>
      <w:r w:rsidRPr="00B47A5D">
        <w:rPr>
          <w:rFonts w:eastAsia="Cambria,Bold"/>
          <w:bCs/>
          <w:sz w:val="24"/>
        </w:rPr>
        <w:t xml:space="preserve"> или </w:t>
      </w:r>
      <w:r w:rsidRPr="00B47A5D">
        <w:rPr>
          <w:rFonts w:eastAsia="Cambria,Bold"/>
          <w:bCs/>
          <w:sz w:val="24"/>
        </w:rPr>
        <w:lastRenderedPageBreak/>
        <w:t>евиденцију коју води други надлежни орган или организација или то чини без сагласности надлежног органа или организације (дозвола, одобрење, решење, мишљење, уверење, лиценца, сертификат, акредитација, потврда, овлашћење, акт о сагласности, акт о условима и др) или без пријаве надлежном органу или организацији, када је овај упис, сагласност или пријава прописана као услов за обављање те делатности или вршење те активности, инспекција има и врши сва овлашћења и дужности које има и врши према нерегистрованом субјекту и на њега се примењују одредбе овог закона које се односе на нерегистрованог субјекта.</w:t>
      </w:r>
    </w:p>
    <w:p w:rsidR="00B47A5D" w:rsidRPr="00B47A5D" w:rsidRDefault="00B47A5D" w:rsidP="00B47A5D">
      <w:pPr>
        <w:pStyle w:val="a"/>
        <w:spacing w:line="360" w:lineRule="auto"/>
        <w:rPr>
          <w:rFonts w:eastAsia="Cambria,Bold"/>
          <w:bCs/>
          <w:sz w:val="24"/>
        </w:rPr>
      </w:pPr>
      <w:r w:rsidRPr="00B47A5D">
        <w:rPr>
          <w:sz w:val="24"/>
        </w:rPr>
        <w:t>Привредно друштво, као правно лице које обавља делатност у циљу стицања добити, стиче својство правног лица регистрацијом у складу са прописима којима се уређује регистрација привредних субјеката</w:t>
      </w:r>
      <w:r w:rsidRPr="00B47A5D">
        <w:rPr>
          <w:bCs/>
          <w:iCs/>
          <w:sz w:val="24"/>
        </w:rPr>
        <w:t xml:space="preserve"> у Агенцији за привредне регистре, а то су</w:t>
      </w:r>
      <w:r w:rsidRPr="00B47A5D">
        <w:rPr>
          <w:sz w:val="24"/>
        </w:rPr>
        <w:t xml:space="preserve"> </w:t>
      </w:r>
      <w:r w:rsidRPr="00B47A5D">
        <w:rPr>
          <w:bCs/>
          <w:i/>
          <w:iCs/>
          <w:sz w:val="24"/>
        </w:rPr>
        <w:t>Закон о поступку регистрације</w:t>
      </w:r>
      <w:r w:rsidRPr="00B47A5D">
        <w:rPr>
          <w:rStyle w:val="StyleFootnoteReference"/>
          <w:sz w:val="24"/>
        </w:rPr>
        <w:footnoteReference w:id="4"/>
      </w:r>
      <w:r w:rsidRPr="00B47A5D">
        <w:rPr>
          <w:bCs/>
          <w:iCs/>
          <w:sz w:val="24"/>
        </w:rPr>
        <w:t xml:space="preserve"> </w:t>
      </w:r>
      <w:r w:rsidRPr="00B47A5D">
        <w:rPr>
          <w:sz w:val="24"/>
        </w:rPr>
        <w:t xml:space="preserve">и пратећи </w:t>
      </w:r>
      <w:r w:rsidRPr="00B47A5D">
        <w:rPr>
          <w:bCs/>
          <w:i/>
          <w:iCs/>
          <w:sz w:val="24"/>
        </w:rPr>
        <w:t>Правилник о садржини Регистра привредних субјеката и документацији потребној за регистрацију</w:t>
      </w:r>
      <w:r w:rsidRPr="00B47A5D">
        <w:rPr>
          <w:bCs/>
          <w:iCs/>
          <w:sz w:val="24"/>
        </w:rPr>
        <w:t>.</w:t>
      </w:r>
      <w:r w:rsidRPr="00B47A5D">
        <w:rPr>
          <w:rStyle w:val="StyleFootnoteReference"/>
          <w:sz w:val="24"/>
        </w:rPr>
        <w:footnoteReference w:id="5"/>
      </w:r>
    </w:p>
    <w:p w:rsidR="00B47A5D" w:rsidRPr="00B47A5D" w:rsidRDefault="00B47A5D" w:rsidP="00B47A5D">
      <w:pPr>
        <w:pStyle w:val="a"/>
        <w:spacing w:line="360" w:lineRule="auto"/>
        <w:rPr>
          <w:sz w:val="24"/>
        </w:rPr>
      </w:pPr>
      <w:r w:rsidRPr="00B47A5D">
        <w:rPr>
          <w:sz w:val="24"/>
        </w:rPr>
        <w:t xml:space="preserve">Предузетник је пословно способно физичко лице које обавља делатност у циљу остваривања прихода и које је као такво регистровано у складу са </w:t>
      </w:r>
      <w:r w:rsidRPr="00B47A5D">
        <w:rPr>
          <w:i/>
          <w:sz w:val="24"/>
        </w:rPr>
        <w:t>Законом о поступку регистрације</w:t>
      </w:r>
      <w:r w:rsidRPr="00B47A5D">
        <w:rPr>
          <w:sz w:val="24"/>
        </w:rPr>
        <w:t>.</w:t>
      </w:r>
    </w:p>
    <w:p w:rsidR="00B47A5D" w:rsidRPr="00B47A5D" w:rsidRDefault="00B47A5D" w:rsidP="00B47A5D">
      <w:pPr>
        <w:pStyle w:val="a"/>
        <w:spacing w:line="360" w:lineRule="auto"/>
        <w:rPr>
          <w:rFonts w:eastAsia="Cambria,Bold"/>
          <w:bCs/>
          <w:sz w:val="24"/>
        </w:rPr>
      </w:pPr>
      <w:r w:rsidRPr="00B47A5D">
        <w:rPr>
          <w:sz w:val="24"/>
        </w:rPr>
        <w:t xml:space="preserve"> </w:t>
      </w:r>
      <w:r w:rsidRPr="00B47A5D">
        <w:rPr>
          <w:bCs/>
          <w:sz w:val="24"/>
        </w:rPr>
        <w:t>Посебним законом може се условити регистрација привредног субјекта или обављање одређене делатности специфично утврђеним условима за обављање делатности, који су прописани у виду различитих облика сагласности надлежног органа или организације (</w:t>
      </w:r>
      <w:r w:rsidRPr="00B47A5D">
        <w:rPr>
          <w:sz w:val="24"/>
        </w:rPr>
        <w:t xml:space="preserve">дозвола, одобрење, мишљење, лиценца,  акредитација, потврда, овлашћење, акт о сагласности, акт о условима, или други облик сагласности) и </w:t>
      </w:r>
      <w:r w:rsidRPr="00B47A5D">
        <w:rPr>
          <w:bCs/>
          <w:sz w:val="24"/>
        </w:rPr>
        <w:t>уписа у посебан регистар</w:t>
      </w:r>
      <w:r w:rsidRPr="00B47A5D">
        <w:rPr>
          <w:sz w:val="24"/>
        </w:rPr>
        <w:t xml:space="preserve"> (регистар који не води Агенција за привредне регистре).</w:t>
      </w:r>
      <w:r w:rsidRPr="00B47A5D">
        <w:rPr>
          <w:rStyle w:val="StyleFootnoteReference"/>
          <w:sz w:val="24"/>
        </w:rPr>
        <w:footnoteReference w:id="6"/>
      </w:r>
      <w:r w:rsidRPr="00B47A5D">
        <w:rPr>
          <w:sz w:val="24"/>
        </w:rPr>
        <w:t xml:space="preserve"> Насупрот регистрованим, односно пријављеним субјектима (регистровано пословање), стоје </w:t>
      </w:r>
      <w:r w:rsidRPr="00B47A5D">
        <w:rPr>
          <w:bCs/>
          <w:sz w:val="24"/>
        </w:rPr>
        <w:t>нерегистровани, односно непријављени субјекти који обављају делатнос</w:t>
      </w:r>
      <w:r w:rsidRPr="00B47A5D">
        <w:rPr>
          <w:sz w:val="24"/>
        </w:rPr>
        <w:t>т (нерегистровано пословање).</w:t>
      </w:r>
      <w:r w:rsidRPr="00B47A5D">
        <w:rPr>
          <w:rFonts w:eastAsia="Cambria,Bold"/>
          <w:bCs/>
          <w:sz w:val="24"/>
        </w:rPr>
        <w:t xml:space="preserve"> </w:t>
      </w:r>
    </w:p>
    <w:p w:rsidR="00B47A5D" w:rsidRPr="00B47A5D" w:rsidRDefault="00B47A5D" w:rsidP="00B47A5D">
      <w:pPr>
        <w:pStyle w:val="a"/>
        <w:spacing w:line="360" w:lineRule="auto"/>
        <w:rPr>
          <w:sz w:val="24"/>
        </w:rPr>
      </w:pPr>
      <w:r w:rsidRPr="00B47A5D">
        <w:rPr>
          <w:sz w:val="24"/>
        </w:rPr>
        <w:lastRenderedPageBreak/>
        <w:t xml:space="preserve">Ради спречавања „рада на црно”, као појавног облика тзв. сиве економије, </w:t>
      </w:r>
      <w:r w:rsidRPr="00B47A5D">
        <w:rPr>
          <w:i/>
          <w:sz w:val="24"/>
        </w:rPr>
        <w:t>Законом</w:t>
      </w:r>
      <w:r w:rsidRPr="00B47A5D">
        <w:rPr>
          <w:sz w:val="24"/>
        </w:rPr>
        <w:t xml:space="preserve"> је утврђено да се као нерегистровани субјект сматра и субјект код кога се затекне лице које без ваљаног правног основа (уговор о раду, уговор о раду ван радног односа, пословна сарадња, стручна пракса и др.) ради код тог субјекта или се може довести у везу са таквим радом код тог субјекта.</w:t>
      </w:r>
    </w:p>
    <w:p w:rsidR="00B47A5D" w:rsidRPr="00B47A5D" w:rsidRDefault="00B47A5D" w:rsidP="00B47A5D">
      <w:pPr>
        <w:pStyle w:val="a"/>
        <w:spacing w:line="360" w:lineRule="auto"/>
        <w:rPr>
          <w:sz w:val="24"/>
        </w:rPr>
      </w:pPr>
      <w:r w:rsidRPr="00B47A5D">
        <w:rPr>
          <w:sz w:val="24"/>
        </w:rPr>
        <w:t>Не сматра се вршењем делатности нерегистрованог субјекта делатност за коју је законом искључена обавеза уписа у одговарајући регистар или евиденцију или сагласност надлежног органа или организације или пријава надлежном органу или организацији, рад за сопствене потребе, породична помоћ, пријатељска или суседска помоћ која се пружа без материјалне користи и нередовно, нужни рад за спречавање несреће или отклањање последица природних или других несрећа, волонтирање у складу са законом, аматерско културно и уметничко стваралаштво у складу са законом, извршавање судских и других одлука надлежних органа и организација, обављање послова и активности чланова у политичким странкама, синдикатима, удружењима и другим невладиним недобитним организацијама, који су везани за остваривање циљева и задатака тих организација, у складу са законима којима се уређују те организације и статутом, и рад у јавном интересу по основу изречене казне.</w:t>
      </w:r>
      <w:r w:rsidRPr="00B47A5D">
        <w:rPr>
          <w:rStyle w:val="StyleFootnoteReference"/>
          <w:sz w:val="24"/>
        </w:rPr>
        <w:footnoteReference w:id="7"/>
      </w:r>
      <w:r w:rsidRPr="00B47A5D">
        <w:rPr>
          <w:sz w:val="24"/>
        </w:rPr>
        <w:t xml:space="preserve"> </w:t>
      </w:r>
    </w:p>
    <w:p w:rsidR="00B47A5D" w:rsidRPr="00B47A5D" w:rsidRDefault="00B47A5D" w:rsidP="00B47A5D">
      <w:pPr>
        <w:pStyle w:val="a"/>
        <w:spacing w:line="360" w:lineRule="auto"/>
        <w:rPr>
          <w:sz w:val="24"/>
          <w:lang w:eastAsia="sr-Latn-CS"/>
        </w:rPr>
      </w:pPr>
      <w:r w:rsidRPr="00B47A5D">
        <w:rPr>
          <w:sz w:val="24"/>
        </w:rPr>
        <w:t xml:space="preserve">Инспекцијски надзор над нерегистрованим субјектом врши се према плану инспекцијског надзора, а и кад није предвиђен планом инспекцијског надзора, као и без обавештења о предстојећем инспекцијском надзору и без издавања налога за инспекцијски надзор. </w:t>
      </w:r>
      <w:r w:rsidRPr="00B47A5D">
        <w:rPr>
          <w:sz w:val="24"/>
          <w:lang w:eastAsia="sr-Latn-CS"/>
        </w:rPr>
        <w:t>Решење о мерама за отклањање незаконитости доноси се одмах пошто инспектор открије нерегистровани субјект.</w:t>
      </w:r>
    </w:p>
    <w:p w:rsidR="00B47A5D" w:rsidRPr="00B47A5D" w:rsidRDefault="00B47A5D" w:rsidP="00B47A5D">
      <w:pPr>
        <w:pStyle w:val="a"/>
        <w:spacing w:line="360" w:lineRule="auto"/>
        <w:rPr>
          <w:rFonts w:eastAsia="Cambria,Bold"/>
          <w:bCs/>
          <w:sz w:val="24"/>
        </w:rPr>
      </w:pPr>
    </w:p>
    <w:p w:rsidR="00B47A5D" w:rsidRPr="00B47A5D" w:rsidRDefault="00B47A5D" w:rsidP="00B47A5D">
      <w:pPr>
        <w:pStyle w:val="a"/>
        <w:spacing w:line="360" w:lineRule="auto"/>
        <w:rPr>
          <w:rFonts w:eastAsia="Cambria,Bold"/>
          <w:bCs/>
          <w:sz w:val="24"/>
        </w:rPr>
      </w:pPr>
      <w:r w:rsidRPr="00B47A5D">
        <w:rPr>
          <w:rFonts w:eastAsia="Cambria,Bold"/>
          <w:bCs/>
          <w:sz w:val="24"/>
        </w:rPr>
        <w:t>Решење о мерама за отклањање незаконитости, забране обављања делатности или вршења активности и заплене робе, документације и других предмета који су нерегистрованом субјекту послужили за незаконито обављање делатности или вршење активности или су тиме настали доноси се одмах пошто инспектор открије нерегистрованог субјекта. Истовремено, решење се одмах доставља нерегистрованом субјекту и њиме му се:</w:t>
      </w:r>
    </w:p>
    <w:p w:rsidR="00B47A5D" w:rsidRPr="00B47A5D" w:rsidRDefault="00B47A5D" w:rsidP="00B47A5D">
      <w:pPr>
        <w:pStyle w:val="a"/>
        <w:spacing w:line="360" w:lineRule="auto"/>
        <w:rPr>
          <w:rFonts w:eastAsia="Cambria,Bold"/>
          <w:bCs/>
          <w:sz w:val="24"/>
        </w:rPr>
      </w:pPr>
      <w:r w:rsidRPr="00B47A5D">
        <w:rPr>
          <w:rFonts w:eastAsia="Cambria,Bold"/>
          <w:bCs/>
          <w:sz w:val="24"/>
        </w:rPr>
        <w:t xml:space="preserve">– налаже да без одлагања покрене поступак за упис у основни регистар, односно у одговарајући посебни регистар или евиденцију коју води надлежни орган или </w:t>
      </w:r>
      <w:r w:rsidRPr="00B47A5D">
        <w:rPr>
          <w:rFonts w:eastAsia="Cambria,Bold"/>
          <w:bCs/>
          <w:sz w:val="24"/>
        </w:rPr>
        <w:lastRenderedPageBreak/>
        <w:t xml:space="preserve">организација или прибављања сагласности надлежног органа или организације или пријаве надлежном органу или организацији; </w:t>
      </w:r>
      <w:r w:rsidRPr="00B47A5D">
        <w:rPr>
          <w:rStyle w:val="StyleFootnoteReference"/>
          <w:rFonts w:eastAsia="Cambria,Bold"/>
          <w:sz w:val="24"/>
        </w:rPr>
        <w:footnoteReference w:id="8"/>
      </w:r>
    </w:p>
    <w:p w:rsidR="00B47A5D" w:rsidRPr="00B47A5D" w:rsidRDefault="00B47A5D" w:rsidP="00B47A5D">
      <w:pPr>
        <w:pStyle w:val="a"/>
        <w:spacing w:line="360" w:lineRule="auto"/>
        <w:rPr>
          <w:rFonts w:eastAsia="Cambria,Bold"/>
          <w:bCs/>
          <w:sz w:val="24"/>
        </w:rPr>
      </w:pPr>
      <w:r w:rsidRPr="00B47A5D">
        <w:rPr>
          <w:rFonts w:eastAsia="Cambria,Bold"/>
          <w:bCs/>
          <w:sz w:val="24"/>
        </w:rPr>
        <w:t>– забрањује да обавља делатност или врши активност до испуњења за то прописаних услова;</w:t>
      </w:r>
    </w:p>
    <w:p w:rsidR="00B47A5D" w:rsidRPr="00B47A5D" w:rsidRDefault="00B47A5D" w:rsidP="00B47A5D">
      <w:pPr>
        <w:pStyle w:val="a"/>
        <w:spacing w:line="360" w:lineRule="auto"/>
        <w:rPr>
          <w:rFonts w:eastAsia="Cambria,Bold"/>
          <w:bCs/>
          <w:sz w:val="24"/>
        </w:rPr>
      </w:pPr>
      <w:r w:rsidRPr="00B47A5D">
        <w:rPr>
          <w:rFonts w:eastAsia="Cambria,Bold"/>
          <w:bCs/>
          <w:sz w:val="24"/>
        </w:rPr>
        <w:t>– заплењује роба, документација и други предмети који су му послужили за незаконито обављање делатности или вршење активности или су тиме настали и</w:t>
      </w:r>
    </w:p>
    <w:p w:rsidR="00B47A5D" w:rsidRPr="00B47A5D" w:rsidRDefault="00B47A5D" w:rsidP="00B47A5D">
      <w:pPr>
        <w:pStyle w:val="a"/>
        <w:spacing w:line="360" w:lineRule="auto"/>
        <w:rPr>
          <w:rFonts w:eastAsia="Cambria,Bold"/>
          <w:bCs/>
          <w:sz w:val="24"/>
        </w:rPr>
      </w:pPr>
      <w:r w:rsidRPr="00B47A5D">
        <w:rPr>
          <w:rFonts w:eastAsia="Cambria,Bold"/>
          <w:bCs/>
          <w:sz w:val="24"/>
        </w:rPr>
        <w:t>– налаже да отклони друге откривене незаконитости.</w:t>
      </w:r>
    </w:p>
    <w:p w:rsidR="00B47A5D" w:rsidRPr="00B47A5D" w:rsidRDefault="00B47A5D" w:rsidP="00B47A5D">
      <w:pPr>
        <w:pStyle w:val="a"/>
        <w:spacing w:line="360" w:lineRule="auto"/>
        <w:rPr>
          <w:rFonts w:eastAsia="Cambria,Bold"/>
          <w:bCs/>
          <w:sz w:val="24"/>
        </w:rPr>
      </w:pPr>
      <w:r w:rsidRPr="00B47A5D">
        <w:rPr>
          <w:rFonts w:eastAsia="Cambria,Bold"/>
          <w:bCs/>
          <w:sz w:val="24"/>
        </w:rPr>
        <w:t>Жалба, у овом случају, не одлаже извршење решења.</w:t>
      </w:r>
    </w:p>
    <w:p w:rsidR="00B47A5D" w:rsidRPr="00B47A5D" w:rsidRDefault="00B47A5D" w:rsidP="00B47A5D">
      <w:pPr>
        <w:pStyle w:val="a"/>
        <w:spacing w:line="360" w:lineRule="auto"/>
        <w:rPr>
          <w:rFonts w:eastAsia="Cambria,Bold"/>
          <w:bCs/>
          <w:sz w:val="24"/>
        </w:rPr>
      </w:pPr>
      <w:r w:rsidRPr="00B47A5D">
        <w:rPr>
          <w:rFonts w:eastAsia="Cambria,Bold"/>
          <w:bCs/>
          <w:sz w:val="24"/>
        </w:rPr>
        <w:t>Са робом, документацијом и другим предметима које заплени, инспекција поступа на начин уређен посебним законом.</w:t>
      </w:r>
    </w:p>
    <w:p w:rsidR="00B47A5D" w:rsidRPr="00B47A5D" w:rsidRDefault="00B47A5D" w:rsidP="00B47A5D">
      <w:pPr>
        <w:pStyle w:val="a"/>
        <w:spacing w:line="360" w:lineRule="auto"/>
        <w:rPr>
          <w:rFonts w:eastAsia="Cambria,Bold"/>
          <w:bCs/>
          <w:sz w:val="24"/>
        </w:rPr>
      </w:pPr>
    </w:p>
    <w:p w:rsidR="00B47A5D" w:rsidRPr="00B47A5D" w:rsidRDefault="00B47A5D" w:rsidP="00B47A5D">
      <w:pPr>
        <w:pStyle w:val="a"/>
        <w:spacing w:line="360" w:lineRule="auto"/>
        <w:rPr>
          <w:sz w:val="24"/>
        </w:rPr>
      </w:pPr>
      <w:r w:rsidRPr="00B47A5D">
        <w:rPr>
          <w:sz w:val="24"/>
        </w:rPr>
        <w:t>Инспектор који не може да утврди ко је надзирани субјекат или овлашћено лице надзираног субјекта (непознати надзирани субјект) оставља на месту надзора позив том субјекту, односно лицу да одређеног дана и часа присуствује инспекцијском надзору. Касније оштећење, уништење или уклањање позива не утиче на ваљаност достављања. Ако се непознати субјекат, односно овлашћено лице не одазове овом позиву, инспекцијски надзор се врши у присуству службеног или другог лица које се затекне на месту вршења инспекцијског надзора. Инспектор је дужан да истакне решење којим је изрекао мере за отклањање незаконитости на видном месту на објекту или предмету који је био предмет инспекцијског надзора, чиме се сматра да је извршена уредна достава, што се констатује у записнику о инспекцијском надзору.</w:t>
      </w:r>
    </w:p>
    <w:p w:rsidR="00B47A5D" w:rsidRPr="00B47A5D" w:rsidRDefault="00B47A5D" w:rsidP="00B47A5D">
      <w:pPr>
        <w:pStyle w:val="22"/>
        <w:spacing w:line="360" w:lineRule="auto"/>
        <w:rPr>
          <w:rFonts w:ascii="Times New Roman" w:hAnsi="Times New Roman"/>
          <w:sz w:val="24"/>
        </w:rPr>
      </w:pPr>
      <w:r w:rsidRPr="00B47A5D">
        <w:rPr>
          <w:rFonts w:ascii="Times New Roman" w:hAnsi="Times New Roman"/>
          <w:sz w:val="24"/>
        </w:rPr>
        <w:t>2.10. Извршење решења инспектора</w:t>
      </w:r>
    </w:p>
    <w:p w:rsidR="00B47A5D" w:rsidRPr="00B47A5D" w:rsidRDefault="00B47A5D" w:rsidP="00B47A5D">
      <w:pPr>
        <w:pStyle w:val="a"/>
        <w:spacing w:line="360" w:lineRule="auto"/>
        <w:rPr>
          <w:sz w:val="24"/>
        </w:rPr>
      </w:pPr>
      <w:r w:rsidRPr="00B47A5D">
        <w:rPr>
          <w:sz w:val="24"/>
        </w:rPr>
        <w:t xml:space="preserve">Поступак извршења инспекцијског решења регулисан је </w:t>
      </w:r>
      <w:r w:rsidRPr="00B47A5D">
        <w:rPr>
          <w:i/>
          <w:sz w:val="24"/>
        </w:rPr>
        <w:t>Законом о инспекцијском надзору</w:t>
      </w:r>
      <w:r w:rsidRPr="00B47A5D">
        <w:rPr>
          <w:sz w:val="24"/>
        </w:rPr>
        <w:t xml:space="preserve"> са посебностима карактеристичним за инспекцијски надзор, које захтевају </w:t>
      </w:r>
      <w:r w:rsidRPr="00B47A5D">
        <w:rPr>
          <w:sz w:val="24"/>
        </w:rPr>
        <w:lastRenderedPageBreak/>
        <w:t>посебно уређење у односу на извршење решења регулисано законом којим се уређује општи управни поступак, а нарочито печаћење објеката надзора.</w:t>
      </w:r>
      <w:r w:rsidRPr="00B47A5D">
        <w:rPr>
          <w:rStyle w:val="FootnoteReference"/>
          <w:sz w:val="24"/>
        </w:rPr>
        <w:footnoteReference w:id="9"/>
      </w:r>
    </w:p>
    <w:p w:rsidR="00B47A5D" w:rsidRPr="00B47A5D" w:rsidRDefault="00B47A5D" w:rsidP="00B47A5D">
      <w:pPr>
        <w:pStyle w:val="a"/>
        <w:spacing w:line="360" w:lineRule="auto"/>
        <w:rPr>
          <w:sz w:val="24"/>
        </w:rPr>
      </w:pPr>
      <w:r w:rsidRPr="00B47A5D">
        <w:rPr>
          <w:sz w:val="24"/>
        </w:rPr>
        <w:t xml:space="preserve">Према </w:t>
      </w:r>
      <w:r w:rsidRPr="00B47A5D">
        <w:rPr>
          <w:i/>
          <w:sz w:val="24"/>
        </w:rPr>
        <w:t>Закону</w:t>
      </w:r>
      <w:r w:rsidRPr="00B47A5D">
        <w:rPr>
          <w:sz w:val="24"/>
        </w:rPr>
        <w:t>,</w:t>
      </w:r>
      <w:r w:rsidRPr="00B47A5D">
        <w:rPr>
          <w:color w:val="666666"/>
          <w:sz w:val="24"/>
        </w:rPr>
        <w:t xml:space="preserve"> н</w:t>
      </w:r>
      <w:r w:rsidRPr="00B47A5D">
        <w:rPr>
          <w:sz w:val="24"/>
        </w:rPr>
        <w:t>адзирани субјекат дужан је да у року од осам дана од дана истека рока за предузимање мера изречених решењем инспектора, обавести инспекцију о извршењу изречених мера, осим када је решењем којим су наложене хитне мере, ради спречавања или отклањања опасности по живот или здравље људи, животну средину или биљни или животињски свет, одређен краћи рок. Инспектор прати извршење решења које је донео и врши канцеларијски или теренски контролни инспекцијски надзор да би утврдио да ли су мере које су изречене решењем извршене и о стању извршења подноси редован месечни извештај руководиоцу инспекције. Уколико то прилике налажу, на захтев руководиоца инспекције, инспектор подноси посебне извештаје.</w:t>
      </w:r>
    </w:p>
    <w:p w:rsidR="00B47A5D" w:rsidRPr="00B47A5D" w:rsidRDefault="00B47A5D" w:rsidP="00B47A5D">
      <w:pPr>
        <w:pStyle w:val="a"/>
        <w:spacing w:line="360" w:lineRule="auto"/>
        <w:rPr>
          <w:sz w:val="24"/>
        </w:rPr>
      </w:pPr>
      <w:r w:rsidRPr="00B47A5D">
        <w:rPr>
          <w:sz w:val="24"/>
        </w:rPr>
        <w:t>Инспекција нарочито и појачано прати да ли је нерегистровани субјекат без одлагања покренуо прописани поступак за упис у одговарајући регистар или евиденцију, за прибављање сагласности надлежног органа или организације или пријаве надлежном органу или организацији, и да ли се придржава забране обављања делатности или вршења активности до испуњења за то прописаних услова, као и да ли је отклонио друге откривене незаконитости.</w:t>
      </w:r>
    </w:p>
    <w:p w:rsidR="00B47A5D" w:rsidRPr="00B47A5D" w:rsidRDefault="00B47A5D" w:rsidP="00B47A5D">
      <w:pPr>
        <w:pStyle w:val="a"/>
        <w:spacing w:line="360" w:lineRule="auto"/>
        <w:rPr>
          <w:sz w:val="24"/>
        </w:rPr>
      </w:pPr>
      <w:r w:rsidRPr="00B47A5D">
        <w:rPr>
          <w:sz w:val="24"/>
        </w:rPr>
        <w:t xml:space="preserve">Ако су испуњени услови да се решење изврши непосредном принудом, инспектор може извршити </w:t>
      </w:r>
      <w:r w:rsidRPr="00B47A5D">
        <w:rPr>
          <w:sz w:val="24"/>
          <w:u w:val="single"/>
        </w:rPr>
        <w:t>печаћење</w:t>
      </w:r>
      <w:r w:rsidRPr="00B47A5D">
        <w:rPr>
          <w:sz w:val="24"/>
        </w:rPr>
        <w:t xml:space="preserve"> објеката, просторија, постројења, односно комплекса, машина, опреме или простора (предмети печаћења), у складу са законом.</w:t>
      </w:r>
    </w:p>
    <w:p w:rsidR="00B47A5D" w:rsidRPr="00B47A5D" w:rsidRDefault="00B47A5D" w:rsidP="00B47A5D">
      <w:pPr>
        <w:pStyle w:val="a"/>
        <w:spacing w:line="360" w:lineRule="auto"/>
        <w:rPr>
          <w:sz w:val="24"/>
        </w:rPr>
      </w:pPr>
      <w:r w:rsidRPr="00B47A5D">
        <w:rPr>
          <w:sz w:val="24"/>
        </w:rPr>
        <w:t>Инспектор који врши печаћење мора бити опремљен прибором за печаћење, и то службеним металним печатом, црвеним печатним воском (или пломбом са жигом) и траком за печаћење. Печаћење се врши истицањем или прибијањем, на видном месту, закључка о дозволи извршења, односно решења којим је одређена мера забране обављање делатности или вршења активности, када жалба не одлаже извршење, затварањем предмета печаћења и утискивањем отиска печата на црвеном течном печатном воску тако да се захвати трака за печаћење и на тај начин онемогући улазак у простор, односно употреба предмета печаћења. Печаћење мора бити извршено тако да се предмети печаћења не могу отворити без повреде печата.</w:t>
      </w:r>
    </w:p>
    <w:p w:rsidR="00B47A5D" w:rsidRPr="00B47A5D" w:rsidRDefault="00B47A5D" w:rsidP="00B47A5D">
      <w:pPr>
        <w:pStyle w:val="a"/>
        <w:spacing w:line="360" w:lineRule="auto"/>
        <w:rPr>
          <w:sz w:val="24"/>
        </w:rPr>
      </w:pPr>
      <w:r w:rsidRPr="00B47A5D">
        <w:rPr>
          <w:sz w:val="24"/>
        </w:rPr>
        <w:t>Инспектор обавештава надзираног субјекта да скидање и повреда службеног печата представља кривично дело и сачињава записник о извршењу решења.</w:t>
      </w:r>
    </w:p>
    <w:p w:rsidR="00B47A5D" w:rsidRPr="00B47A5D" w:rsidRDefault="00B47A5D" w:rsidP="00B47A5D">
      <w:pPr>
        <w:pStyle w:val="a"/>
        <w:spacing w:line="360" w:lineRule="auto"/>
        <w:rPr>
          <w:sz w:val="24"/>
        </w:rPr>
      </w:pPr>
      <w:r w:rsidRPr="00B47A5D">
        <w:rPr>
          <w:sz w:val="24"/>
        </w:rPr>
        <w:lastRenderedPageBreak/>
        <w:t>У поступку извршења решења непосредном принудом, може се одредити и други начин принудног извршења којим ће се онемогућити улазак, односно употреба предмета печаћења, као и одговарајуће означавање објеката и других предмета, у складу са законом.</w:t>
      </w:r>
    </w:p>
    <w:p w:rsidR="00B47A5D" w:rsidRPr="00B47A5D" w:rsidRDefault="00B47A5D" w:rsidP="00B47A5D">
      <w:pPr>
        <w:pStyle w:val="a"/>
        <w:spacing w:line="360" w:lineRule="auto"/>
        <w:rPr>
          <w:sz w:val="24"/>
        </w:rPr>
      </w:pPr>
      <w:r w:rsidRPr="00B47A5D">
        <w:rPr>
          <w:sz w:val="24"/>
        </w:rPr>
        <w:t>Инспекција прати пословање и поступање надзираног субјекта према коме су изречене и извршене мере предвиђене законом, како би се обезбедило да тај субјекат настави да послује и поступа законито и безбедно, и спречиле штетне последице по законом заштићена добра, права и интересе већ у времену када се утврди да постоје рани знаци вероватноће њиховог настанка.</w:t>
      </w:r>
    </w:p>
    <w:p w:rsidR="00B47A5D" w:rsidRPr="00B47A5D" w:rsidRDefault="00B47A5D" w:rsidP="00B47A5D">
      <w:pPr>
        <w:pStyle w:val="a"/>
        <w:spacing w:line="360" w:lineRule="auto"/>
        <w:rPr>
          <w:sz w:val="24"/>
        </w:rPr>
      </w:pPr>
      <w:r w:rsidRPr="00B47A5D">
        <w:rPr>
          <w:sz w:val="24"/>
        </w:rPr>
        <w:t xml:space="preserve">Ако код надзираног субјекта открије незаконитост која је кажњива према закону или другом пропису, инспектор надлежном правосудном органу </w:t>
      </w:r>
      <w:r w:rsidRPr="00B47A5D">
        <w:rPr>
          <w:sz w:val="24"/>
          <w:u w:val="single"/>
        </w:rPr>
        <w:t>подноси кривичну пријаву, пријаву за привредни преступ или захтев за покретање прекршајног поступка</w:t>
      </w:r>
      <w:r w:rsidRPr="00B47A5D">
        <w:rPr>
          <w:sz w:val="24"/>
        </w:rPr>
        <w:t>, односно издаје прекршајни налог. Ако код надзираног субјекта открије незаконитост, инспектор предузима и друге радње и мере на које је законом или другим прописом овлашћен (на пример, иницирање привременог или трајног одузимања дозволе).</w:t>
      </w:r>
    </w:p>
    <w:p w:rsidR="0040522D" w:rsidRPr="00B47A5D" w:rsidRDefault="0040522D" w:rsidP="00B47A5D">
      <w:pPr>
        <w:rPr>
          <w:sz w:val="24"/>
          <w:szCs w:val="24"/>
        </w:rPr>
      </w:pPr>
    </w:p>
    <w:sectPr w:rsidR="0040522D" w:rsidRPr="00B47A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AE6" w:rsidRDefault="00E17AE6" w:rsidP="001C2258">
      <w:pPr>
        <w:spacing w:line="240" w:lineRule="auto"/>
      </w:pPr>
      <w:r>
        <w:separator/>
      </w:r>
    </w:p>
  </w:endnote>
  <w:endnote w:type="continuationSeparator" w:id="0">
    <w:p w:rsidR="00E17AE6" w:rsidRDefault="00E17AE6" w:rsidP="001C2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Bold">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AE6" w:rsidRDefault="00E17AE6" w:rsidP="001C2258">
      <w:pPr>
        <w:spacing w:line="240" w:lineRule="auto"/>
      </w:pPr>
      <w:r>
        <w:separator/>
      </w:r>
    </w:p>
  </w:footnote>
  <w:footnote w:type="continuationSeparator" w:id="0">
    <w:p w:rsidR="00E17AE6" w:rsidRDefault="00E17AE6" w:rsidP="001C2258">
      <w:pPr>
        <w:spacing w:line="240" w:lineRule="auto"/>
      </w:pPr>
      <w:r>
        <w:continuationSeparator/>
      </w:r>
    </w:p>
  </w:footnote>
  <w:footnote w:id="1">
    <w:p w:rsidR="00B47A5D" w:rsidRPr="00B51B5A" w:rsidRDefault="00B47A5D" w:rsidP="00B47A5D">
      <w:pPr>
        <w:pStyle w:val="FootnoteText"/>
        <w:spacing w:line="240" w:lineRule="auto"/>
        <w:ind w:firstLine="284"/>
        <w:rPr>
          <w:lang w:val="sr-Cyrl-RS"/>
        </w:rPr>
      </w:pPr>
      <w:r w:rsidRPr="00B51B5A">
        <w:rPr>
          <w:rStyle w:val="FootnoteReference"/>
        </w:rPr>
        <w:footnoteRef/>
      </w:r>
      <w:r w:rsidRPr="00B51B5A">
        <w:t xml:space="preserve"> Тако,</w:t>
      </w:r>
      <w:r w:rsidRPr="00B51B5A">
        <w:rPr>
          <w:lang w:val="sr-Cyrl-RS"/>
        </w:rPr>
        <w:t xml:space="preserve"> на пример,</w:t>
      </w:r>
      <w:r w:rsidRPr="00B51B5A">
        <w:t xml:space="preserve"> </w:t>
      </w:r>
      <w:r w:rsidRPr="00B51B5A">
        <w:rPr>
          <w:bCs/>
          <w:i/>
          <w:iCs/>
        </w:rPr>
        <w:t>Закон о пореском поступку и пореској администрацији</w:t>
      </w:r>
      <w:r w:rsidRPr="00B51B5A">
        <w:rPr>
          <w:bCs/>
          <w:iCs/>
        </w:rPr>
        <w:t xml:space="preserve"> (</w:t>
      </w:r>
      <w:r w:rsidRPr="00B51B5A">
        <w:rPr>
          <w:bCs/>
          <w:i/>
          <w:iCs/>
        </w:rPr>
        <w:t>Службени гласник РС</w:t>
      </w:r>
      <w:r w:rsidRPr="00B51B5A">
        <w:rPr>
          <w:bCs/>
          <w:iCs/>
        </w:rPr>
        <w:t xml:space="preserve">, бр. 80/02, 84/02 </w:t>
      </w:r>
      <w:r w:rsidRPr="00B51B5A">
        <w:rPr>
          <w:bCs/>
          <w:iCs/>
          <w:lang w:val="sr-Latn-RS"/>
        </w:rPr>
        <w:t>–</w:t>
      </w:r>
      <w:r w:rsidRPr="00B51B5A">
        <w:rPr>
          <w:bCs/>
          <w:iCs/>
        </w:rPr>
        <w:t xml:space="preserve"> исправка, 23/03 </w:t>
      </w:r>
      <w:r w:rsidRPr="00B51B5A">
        <w:rPr>
          <w:bCs/>
          <w:iCs/>
          <w:lang w:val="sr-Latn-RS"/>
        </w:rPr>
        <w:t>–</w:t>
      </w:r>
      <w:r w:rsidRPr="00B51B5A">
        <w:rPr>
          <w:bCs/>
          <w:iCs/>
        </w:rPr>
        <w:t xml:space="preserve"> исправка, 70/03, 55/04, 61/05, 85/05 </w:t>
      </w:r>
      <w:r w:rsidRPr="00B51B5A">
        <w:rPr>
          <w:bCs/>
          <w:iCs/>
          <w:lang w:val="sr-Latn-RS"/>
        </w:rPr>
        <w:t>–</w:t>
      </w:r>
      <w:r w:rsidRPr="00B51B5A">
        <w:rPr>
          <w:bCs/>
          <w:iCs/>
        </w:rPr>
        <w:t xml:space="preserve"> др. закон, 62/06 </w:t>
      </w:r>
      <w:r w:rsidRPr="00B51B5A">
        <w:rPr>
          <w:bCs/>
          <w:iCs/>
          <w:lang w:val="sr-Latn-RS"/>
        </w:rPr>
        <w:t>–</w:t>
      </w:r>
      <w:r w:rsidRPr="00B51B5A">
        <w:rPr>
          <w:bCs/>
          <w:iCs/>
        </w:rPr>
        <w:t xml:space="preserve"> др. закон, 63/06 </w:t>
      </w:r>
      <w:r w:rsidRPr="00B51B5A">
        <w:rPr>
          <w:bCs/>
          <w:iCs/>
          <w:lang w:val="sr-Latn-RS"/>
        </w:rPr>
        <w:t>–</w:t>
      </w:r>
      <w:r w:rsidRPr="00B51B5A">
        <w:rPr>
          <w:bCs/>
          <w:iCs/>
        </w:rPr>
        <w:t xml:space="preserve"> исправка др. закона, 61/07, 20/09, 72/09 </w:t>
      </w:r>
      <w:r w:rsidRPr="00B51B5A">
        <w:rPr>
          <w:bCs/>
          <w:iCs/>
          <w:lang w:val="sr-Latn-RS"/>
        </w:rPr>
        <w:t>–</w:t>
      </w:r>
      <w:r w:rsidRPr="00B51B5A">
        <w:rPr>
          <w:bCs/>
          <w:iCs/>
        </w:rPr>
        <w:t xml:space="preserve"> др. закон, 53/10, 101/11, 2/12 </w:t>
      </w:r>
      <w:r w:rsidRPr="00B51B5A">
        <w:rPr>
          <w:bCs/>
          <w:iCs/>
          <w:lang w:val="sr-Latn-RS"/>
        </w:rPr>
        <w:t>–</w:t>
      </w:r>
      <w:r w:rsidRPr="00B51B5A">
        <w:rPr>
          <w:bCs/>
          <w:iCs/>
        </w:rPr>
        <w:t xml:space="preserve"> исправка, 93/12, 47/13, 108/13 и 68/14) у чл</w:t>
      </w:r>
      <w:r w:rsidRPr="00B51B5A">
        <w:rPr>
          <w:bCs/>
          <w:iCs/>
          <w:lang w:val="sr-Cyrl-RS"/>
        </w:rPr>
        <w:t>ану</w:t>
      </w:r>
      <w:r w:rsidRPr="00B51B5A">
        <w:rPr>
          <w:bCs/>
          <w:iCs/>
        </w:rPr>
        <w:t xml:space="preserve"> 129а, 129б и 129в </w:t>
      </w:r>
      <w:r w:rsidRPr="00B51B5A">
        <w:t>уређује утврђивање пореске обавезе лицу које обавља нерегистровану, односно непријављену делатност</w:t>
      </w:r>
      <w:r w:rsidRPr="00B51B5A">
        <w:rPr>
          <w:lang w:val="sr-Latn-RS"/>
        </w:rPr>
        <w:t xml:space="preserve">. </w:t>
      </w:r>
      <w:r w:rsidRPr="00B51B5A">
        <w:t>Предвиђено је да се теренска контрола код лица које обавља нерегистровану, односно непријављену делатност врши без плана контроле и налога за контролу. Ако се у поступку теренске контроле утврди да лице обавља нерегистровану, односно непријављену делатност, пореска обавеза том лицу утврђује се решењем, применом методе процене пореске основице парификацијом. Решење о утврђивању пореза доставља се лицу које обавља нерегистровану, односно непријављену делатност, са налогом да у року од 45 дана од дана достављања решења, код надлежних органа изврши регистрацију, односно пријаву те делатности, плати утврђену пореску обавезу на прописане уплатне рачуне јавних прихода и отклони друге утврђене повреде закона. Ако се у поступку теренске контроле утврди да лице, које је обављајући нерегистровану, односно непријављену делатност, стављало робу у промет, порески инспектор може решењем привремено одузети робу коју је затекао у контроли, а  може привремено одузети и опрему којом обвезник обавља нерегистровану, односно непријављену делатност, а коју затекне у поступку контроле. Ако лице које обавља нерегистровану, односно непријављену делатност, у прописаном року изврши регистрацију, односно пријаву делатности, плати утврђену пореску обавезу и отклони друге утврђене неправилности, одузета роба му се враћа, осим робе подложне кварењу и робе чије чување изискује велике трошкове. Чланом 76. став 1. тачка 1) у вези са чл</w:t>
      </w:r>
      <w:r w:rsidRPr="00B51B5A">
        <w:rPr>
          <w:lang w:val="sr-Cyrl-RS"/>
        </w:rPr>
        <w:t>аном</w:t>
      </w:r>
      <w:r w:rsidRPr="00B51B5A">
        <w:t xml:space="preserve"> 11. и 30. </w:t>
      </w:r>
      <w:r w:rsidRPr="00B51B5A">
        <w:rPr>
          <w:i/>
        </w:rPr>
        <w:t>Закона о трговини</w:t>
      </w:r>
      <w:r w:rsidRPr="00B51B5A">
        <w:t xml:space="preserve"> (</w:t>
      </w:r>
      <w:r w:rsidRPr="00B51B5A">
        <w:rPr>
          <w:i/>
        </w:rPr>
        <w:t>Службени гласник РС</w:t>
      </w:r>
      <w:r w:rsidRPr="00B51B5A">
        <w:t xml:space="preserve">, бр. 53/10 и 10/13) прописано је да ће се новчаном казном од 50.000,00 до 150.000,00 динара казнити физичко лице ако обавља промет робе/услуга, а нема својство трговца, при чему се уз ову прекршајну казну физичком лицу може изрећи и заштитна мера забране вршења одређене делатности у трајању од шест месеци до две године. Чланом 11. </w:t>
      </w:r>
      <w:r w:rsidRPr="00B51B5A">
        <w:rPr>
          <w:i/>
        </w:rPr>
        <w:t>Закона о трговини</w:t>
      </w:r>
      <w:r w:rsidRPr="00B51B5A">
        <w:t xml:space="preserve"> утврђено је да својство трговца, у смислу овог закона, имају правна лица и предузетници који обављају трговину, као и физичка лица, ако овим законом или посебним прописом није другачије прописано, и то пољопривредници, регистровани у складу са прописима којима се уређује пољопривреда, у погледу пољопривредних производа који су предмет регистрације, лица која врше промет уловљене дивљачи, рибе, гљива, дивље флоре и фауне, и осталих шумских плодова, у складу са посебним прописима о лову, рибљем фонду, ветерини, заштити природе и шумама и физичка лица која у виду занимања обављају делатност слободне професије уређену посебним прописима. Члан 30. </w:t>
      </w:r>
      <w:r w:rsidRPr="00B51B5A">
        <w:rPr>
          <w:i/>
        </w:rPr>
        <w:t>Закона о трговини</w:t>
      </w:r>
      <w:r w:rsidRPr="00B51B5A">
        <w:t xml:space="preserve"> прописује да трговину могу да обављају лица која имају својство трговца у складу са овим законом. За обављање трговине морају бити испуњени услови прописани овим законом, као и посебним прописима (хигијенско-санитарни, услови безбедности и здравља на раду, услови заштите животне средине, прописани технички захтеви и др.). Ова лица су дужна да у продајном објекту, односно приликом трговине ван продајног објекта, поседују доказе о својству трговца, односно испуњености прописаних услова. Чланом 121. став 1. тачка 1</w:t>
      </w:r>
      <w:r w:rsidRPr="00B51B5A">
        <w:rPr>
          <w:lang w:val="sr-Latn-RS"/>
        </w:rPr>
        <w:t>.</w:t>
      </w:r>
      <w:r w:rsidRPr="00B51B5A">
        <w:t xml:space="preserve"> </w:t>
      </w:r>
      <w:r w:rsidRPr="00B51B5A">
        <w:rPr>
          <w:i/>
        </w:rPr>
        <w:t>Закона о туризму</w:t>
      </w:r>
      <w:r w:rsidRPr="00B51B5A">
        <w:t xml:space="preserve"> (</w:t>
      </w:r>
      <w:r w:rsidRPr="00B51B5A">
        <w:rPr>
          <w:i/>
        </w:rPr>
        <w:t>Службени гласник РС</w:t>
      </w:r>
      <w:r w:rsidRPr="00B51B5A">
        <w:t xml:space="preserve"> бр. 36/09, 88/10, 99/11 </w:t>
      </w:r>
      <w:r w:rsidRPr="00B51B5A">
        <w:rPr>
          <w:lang w:val="sr-Latn-RS"/>
        </w:rPr>
        <w:t>–</w:t>
      </w:r>
      <w:r w:rsidRPr="00B51B5A">
        <w:t xml:space="preserve"> др. закон и 93/12) прописано је да је туристички инспектор овлашћен да привремено забрани обављање делатности правном и физичком лицу које обавља делатност туристичких агенција, угоститељску делатност, наутичку делатност или ловнотуристичку делатност и које пружа услуге а није регистровао привредну делатност у одговарајући регистар</w:t>
      </w:r>
      <w:r w:rsidRPr="00B51B5A">
        <w:rPr>
          <w:lang w:val="sr-Cyrl-RS"/>
        </w:rPr>
        <w:t>. (Водич)</w:t>
      </w:r>
    </w:p>
  </w:footnote>
  <w:footnote w:id="2">
    <w:p w:rsidR="00B47A5D" w:rsidRPr="00B51B5A" w:rsidRDefault="00B47A5D" w:rsidP="00B47A5D">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w:t>
      </w:r>
      <w:r w:rsidRPr="00B51B5A">
        <w:rPr>
          <w:sz w:val="20"/>
          <w:lang w:val="sr-Cyrl-RS"/>
        </w:rPr>
        <w:t xml:space="preserve">Основни </w:t>
      </w:r>
      <w:r w:rsidRPr="00B51B5A">
        <w:rPr>
          <w:sz w:val="20"/>
          <w:lang w:val="sr-Cyrl-RS"/>
        </w:rPr>
        <w:t>регистри су: Регистар привредних субјеката (привредна друштва, предузетници и задруге) који води АПР; Регистар удружења (удружења и савези удружења), који води АПР; Регистар страних удружења (представништва страних удружења), који води АПР; Регистар задужбина и фондација и представништава страних задужбина и фондација, који води АПР; Регистар удружења, друштава и савеза у области спорта, који води АПР; Регистар установа, који води надлежни привредни суд.</w:t>
      </w:r>
    </w:p>
  </w:footnote>
  <w:footnote w:id="3">
    <w:p w:rsidR="00B47A5D" w:rsidRPr="00B51B5A" w:rsidRDefault="00B47A5D" w:rsidP="00B47A5D">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w:t>
      </w:r>
      <w:r w:rsidRPr="00B51B5A">
        <w:rPr>
          <w:sz w:val="20"/>
          <w:lang w:val="sr-Cyrl-RS"/>
        </w:rPr>
        <w:t>Неки од посебних регистара су,  на пример: Регистар туризма, који води Агенција за привредне регистре; Регистар произвођача алкохолних пића, који води Пореска управа; Виноградарски регистар и Винарски регистар, које води министарство надлежно за послове пољопривреде; Регистар лица за обуку животиња, Регистар превозника животиња и Регистар за огледе на животињама, које води министарство надлежно за послове ветеринарства; итд.</w:t>
      </w:r>
    </w:p>
  </w:footnote>
  <w:footnote w:id="4">
    <w:p w:rsidR="00B47A5D" w:rsidRPr="00B51B5A" w:rsidRDefault="00B47A5D" w:rsidP="00B47A5D">
      <w:pPr>
        <w:pStyle w:val="FootnoteText"/>
        <w:spacing w:line="240" w:lineRule="auto"/>
        <w:ind w:firstLine="284"/>
        <w:rPr>
          <w:lang w:val="sr-Cyrl-RS"/>
        </w:rPr>
      </w:pPr>
      <w:r w:rsidRPr="00B51B5A">
        <w:rPr>
          <w:rStyle w:val="FootnoteReference"/>
        </w:rPr>
        <w:footnoteRef/>
      </w:r>
      <w:r w:rsidRPr="00B51B5A">
        <w:rPr>
          <w:bCs/>
          <w:iCs/>
          <w:lang w:val="sr-Cyrl-RS"/>
        </w:rPr>
        <w:t xml:space="preserve"> </w:t>
      </w:r>
      <w:r w:rsidRPr="00B51B5A">
        <w:rPr>
          <w:bCs/>
          <w:i/>
          <w:iCs/>
        </w:rPr>
        <w:t>Службени гласник Р</w:t>
      </w:r>
      <w:r w:rsidRPr="00B51B5A">
        <w:rPr>
          <w:bCs/>
          <w:i/>
          <w:iCs/>
          <w:lang w:val="sr-Cyrl-RS"/>
        </w:rPr>
        <w:t>С</w:t>
      </w:r>
      <w:r w:rsidRPr="00B51B5A">
        <w:rPr>
          <w:bCs/>
          <w:iCs/>
        </w:rPr>
        <w:t>, бр</w:t>
      </w:r>
      <w:r w:rsidRPr="00B51B5A">
        <w:rPr>
          <w:bCs/>
          <w:iCs/>
          <w:lang w:val="sr-Cyrl-RS"/>
        </w:rPr>
        <w:t>.</w:t>
      </w:r>
      <w:r w:rsidRPr="00B51B5A">
        <w:rPr>
          <w:bCs/>
          <w:iCs/>
        </w:rPr>
        <w:t xml:space="preserve"> 99/11</w:t>
      </w:r>
      <w:r w:rsidRPr="00B51B5A">
        <w:rPr>
          <w:bCs/>
          <w:iCs/>
          <w:lang w:val="sr-Cyrl-RS"/>
        </w:rPr>
        <w:t>.</w:t>
      </w:r>
    </w:p>
  </w:footnote>
  <w:footnote w:id="5">
    <w:p w:rsidR="00B47A5D" w:rsidRPr="00B51B5A" w:rsidRDefault="00B47A5D" w:rsidP="00B47A5D">
      <w:pPr>
        <w:pStyle w:val="FootnoteText"/>
        <w:spacing w:line="240" w:lineRule="auto"/>
        <w:ind w:firstLine="284"/>
        <w:rPr>
          <w:bCs/>
          <w:iCs/>
          <w:lang w:val="sr-Cyrl-RS"/>
        </w:rPr>
      </w:pPr>
      <w:r w:rsidRPr="00B51B5A">
        <w:rPr>
          <w:rStyle w:val="FootnoteReference"/>
        </w:rPr>
        <w:footnoteRef/>
      </w:r>
      <w:r w:rsidRPr="00B51B5A">
        <w:t xml:space="preserve"> </w:t>
      </w:r>
      <w:r w:rsidRPr="00B51B5A">
        <w:rPr>
          <w:bCs/>
          <w:i/>
          <w:iCs/>
        </w:rPr>
        <w:t>Службени гласник Р</w:t>
      </w:r>
      <w:r w:rsidRPr="00B51B5A">
        <w:rPr>
          <w:bCs/>
          <w:i/>
          <w:iCs/>
          <w:lang w:val="sr-Cyrl-RS"/>
        </w:rPr>
        <w:t>С</w:t>
      </w:r>
      <w:r w:rsidRPr="00B51B5A">
        <w:rPr>
          <w:bCs/>
          <w:iCs/>
        </w:rPr>
        <w:t>, бр</w:t>
      </w:r>
      <w:r w:rsidRPr="00B51B5A">
        <w:rPr>
          <w:bCs/>
          <w:iCs/>
          <w:lang w:val="sr-Cyrl-RS"/>
        </w:rPr>
        <w:t>.</w:t>
      </w:r>
      <w:r w:rsidRPr="00B51B5A">
        <w:rPr>
          <w:bCs/>
          <w:iCs/>
        </w:rPr>
        <w:t xml:space="preserve"> 99/</w:t>
      </w:r>
      <w:r w:rsidRPr="00B51B5A">
        <w:rPr>
          <w:bCs/>
          <w:iCs/>
          <w:lang w:val="sr-Cyrl-RS"/>
        </w:rPr>
        <w:t>11.</w:t>
      </w:r>
    </w:p>
  </w:footnote>
  <w:footnote w:id="6">
    <w:p w:rsidR="00B47A5D" w:rsidRPr="00B51B5A" w:rsidRDefault="00B47A5D" w:rsidP="00B47A5D">
      <w:pPr>
        <w:pStyle w:val="FootnoteText"/>
        <w:spacing w:line="240" w:lineRule="auto"/>
        <w:ind w:firstLine="284"/>
        <w:rPr>
          <w:lang w:val="sr-Cyrl-RS"/>
        </w:rPr>
      </w:pPr>
      <w:r w:rsidRPr="00B51B5A">
        <w:rPr>
          <w:rStyle w:val="FootnoteReference"/>
        </w:rPr>
        <w:footnoteRef/>
      </w:r>
      <w:r w:rsidRPr="00B51B5A">
        <w:rPr>
          <w:lang w:val="sr-Cyrl-RS"/>
        </w:rPr>
        <w:t xml:space="preserve"> </w:t>
      </w:r>
      <w:r w:rsidRPr="00B51B5A">
        <w:t xml:space="preserve">Агенција за привредне регистре води, поред Регистра привредних субјеката, и Регистар заложног права на покретним стварима и правима, Регистар финансијског лизинга, Регистар јавних гласила, Регистар удружења, Регистар страних удружења, Регистар мера и подстицаја регионалног развоја, Регистар комора, Регистар туризма, Регистар финансијских извештаја и података о бонитету правних лица и предузетника, Регистар стечајних маса, Регистар задужбина и фондација, Регистар представништава страних задужбина и фондација, Регистар удружења, друштава и савеза у области спорта, Регистар судских забрана и друге регистре одређене законом </w:t>
      </w:r>
      <w:r w:rsidRPr="00B51B5A">
        <w:rPr>
          <w:bCs/>
        </w:rPr>
        <w:t>или именик, односно посебну евиденцију, односно прописане пријаве надлежном органу или организацији.</w:t>
      </w:r>
      <w:r w:rsidRPr="00B51B5A">
        <w:t xml:space="preserve"> </w:t>
      </w:r>
    </w:p>
  </w:footnote>
  <w:footnote w:id="7">
    <w:p w:rsidR="00B47A5D" w:rsidRPr="00B51B5A" w:rsidRDefault="00B47A5D" w:rsidP="00B47A5D">
      <w:pPr>
        <w:pStyle w:val="t-9-8"/>
        <w:spacing w:before="0" w:beforeAutospacing="0" w:after="0" w:afterAutospacing="0"/>
        <w:ind w:firstLine="284"/>
        <w:jc w:val="both"/>
        <w:rPr>
          <w:sz w:val="20"/>
          <w:szCs w:val="20"/>
          <w:lang w:val="sr-Cyrl-RS"/>
        </w:rPr>
      </w:pPr>
      <w:r w:rsidRPr="00B51B5A">
        <w:rPr>
          <w:rStyle w:val="FootnoteReference"/>
          <w:sz w:val="20"/>
          <w:szCs w:val="20"/>
        </w:rPr>
        <w:footnoteRef/>
      </w:r>
      <w:r w:rsidRPr="00B51B5A">
        <w:rPr>
          <w:sz w:val="20"/>
          <w:szCs w:val="20"/>
          <w:lang w:val="sr-Cyrl-RS"/>
        </w:rPr>
        <w:t xml:space="preserve"> </w:t>
      </w:r>
      <w:r w:rsidRPr="00B51B5A">
        <w:rPr>
          <w:sz w:val="20"/>
          <w:szCs w:val="20"/>
          <w:lang w:val="sr-Cyrl-RS"/>
        </w:rPr>
        <w:t xml:space="preserve">Волонтирање је уређено </w:t>
      </w:r>
      <w:r w:rsidRPr="00B51B5A">
        <w:rPr>
          <w:i/>
          <w:sz w:val="20"/>
          <w:szCs w:val="20"/>
          <w:lang w:val="sr-Cyrl-RS"/>
        </w:rPr>
        <w:t>Законом о волонтирању</w:t>
      </w:r>
      <w:r w:rsidRPr="00B51B5A">
        <w:rPr>
          <w:sz w:val="20"/>
          <w:szCs w:val="20"/>
          <w:lang w:val="sr-Cyrl-RS"/>
        </w:rPr>
        <w:t xml:space="preserve"> (</w:t>
      </w:r>
      <w:r w:rsidRPr="00B51B5A">
        <w:rPr>
          <w:i/>
          <w:sz w:val="20"/>
          <w:szCs w:val="20"/>
          <w:lang w:val="sr-Cyrl-RS"/>
        </w:rPr>
        <w:t>Службени гласник РС</w:t>
      </w:r>
      <w:r w:rsidRPr="00B51B5A">
        <w:rPr>
          <w:sz w:val="20"/>
          <w:szCs w:val="20"/>
          <w:lang w:val="sr-Cyrl-RS"/>
        </w:rPr>
        <w:t xml:space="preserve">, бр. 36/10), а казна рада у јавном интересу </w:t>
      </w:r>
      <w:r w:rsidRPr="00B51B5A">
        <w:rPr>
          <w:i/>
          <w:sz w:val="20"/>
          <w:szCs w:val="20"/>
          <w:lang w:val="sr-Cyrl-RS"/>
        </w:rPr>
        <w:t>Кривичним закоником</w:t>
      </w:r>
      <w:r w:rsidRPr="00B51B5A">
        <w:rPr>
          <w:sz w:val="20"/>
          <w:szCs w:val="20"/>
          <w:lang w:val="sr-Cyrl-RS"/>
        </w:rPr>
        <w:t xml:space="preserve"> (</w:t>
      </w:r>
      <w:r w:rsidRPr="00B51B5A">
        <w:rPr>
          <w:i/>
          <w:sz w:val="20"/>
          <w:szCs w:val="20"/>
          <w:lang w:val="sr-Cyrl-RS"/>
        </w:rPr>
        <w:t>Службени гласник РС</w:t>
      </w:r>
      <w:r w:rsidRPr="00B51B5A">
        <w:rPr>
          <w:sz w:val="20"/>
          <w:szCs w:val="20"/>
          <w:lang w:val="sr-Cyrl-RS"/>
        </w:rPr>
        <w:t xml:space="preserve">, бр. 85/05, 88/05 – исправка, 107/05 – исправка, 72/09, 111/09, 121/12 и 104/13) и </w:t>
      </w:r>
      <w:r w:rsidRPr="00B51B5A">
        <w:rPr>
          <w:i/>
          <w:sz w:val="20"/>
          <w:szCs w:val="20"/>
          <w:lang w:val="sr-Cyrl-RS"/>
        </w:rPr>
        <w:t>Законом о прекршајима</w:t>
      </w:r>
      <w:r w:rsidRPr="00B51B5A">
        <w:rPr>
          <w:sz w:val="20"/>
          <w:szCs w:val="20"/>
          <w:lang w:val="sr-Cyrl-RS"/>
        </w:rPr>
        <w:t xml:space="preserve"> (</w:t>
      </w:r>
      <w:r w:rsidRPr="00B51B5A">
        <w:rPr>
          <w:i/>
          <w:sz w:val="20"/>
          <w:szCs w:val="20"/>
          <w:lang w:val="sr-Cyrl-RS"/>
        </w:rPr>
        <w:t>Службени гласник РС</w:t>
      </w:r>
      <w:r w:rsidRPr="00B51B5A">
        <w:rPr>
          <w:sz w:val="20"/>
          <w:szCs w:val="20"/>
          <w:lang w:val="sr-Cyrl-RS"/>
        </w:rPr>
        <w:t>, бр. 65/13).</w:t>
      </w:r>
    </w:p>
  </w:footnote>
  <w:footnote w:id="8">
    <w:p w:rsidR="00B47A5D" w:rsidRPr="00B51B5A" w:rsidRDefault="00B47A5D" w:rsidP="00B47A5D">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w:t>
      </w:r>
      <w:r w:rsidRPr="00B51B5A">
        <w:rPr>
          <w:sz w:val="20"/>
          <w:lang w:val="sr-Cyrl-RS"/>
        </w:rPr>
        <w:t>Неки од примера обављања делатности и вршења активности од стране нерегистрованог субјекта су: нерегистроване стоматолошке ординације у становима; нерегистровани угоститељски објекти за смештај; нерегистровани угоститељски објекти за исхрану и пиће; организоване „мануфактуре” за производњу текстилних производа које нерегистровано раде у становима, кућама, подрумима и помоћним и повезаним објектима и „на црно” запошљавају по десет и више радника, уз то кривотворећи заштићене робне марке (жигове) легалних привредних субјеката; производња и испорука хране потрошачима нерегистровано и без испуњавања санитарних, хигијенских, безбедносних и других стандарда; нерегистроване кланице и месаре; превоз путника без дозволе и регистрације; продаја робе непрехрамбеног типа од стране нерегистрованих субјеката порепијаца; сакупљање, транспорт, складиштење, третман и одлагање отпада без дозволе и регистрације; домови за негу старих особа без издате лиценце и регистрације; предшколске установе које обављају делатност без лиценце и регистрације; итд.</w:t>
      </w:r>
    </w:p>
  </w:footnote>
  <w:footnote w:id="9">
    <w:p w:rsidR="00B47A5D" w:rsidRPr="00401ECA" w:rsidRDefault="00B47A5D" w:rsidP="00B47A5D">
      <w:pPr>
        <w:autoSpaceDE w:val="0"/>
        <w:autoSpaceDN w:val="0"/>
        <w:adjustRightInd w:val="0"/>
        <w:spacing w:line="240" w:lineRule="auto"/>
        <w:ind w:firstLine="284"/>
        <w:rPr>
          <w:spacing w:val="-6"/>
          <w:sz w:val="20"/>
          <w:lang w:val="sr-Cyrl-RS"/>
        </w:rPr>
      </w:pPr>
      <w:r w:rsidRPr="00401ECA">
        <w:rPr>
          <w:rStyle w:val="FootnoteReference"/>
          <w:spacing w:val="-6"/>
          <w:sz w:val="20"/>
        </w:rPr>
        <w:footnoteRef/>
      </w:r>
      <w:r w:rsidRPr="00401ECA">
        <w:rPr>
          <w:spacing w:val="-6"/>
          <w:sz w:val="20"/>
        </w:rPr>
        <w:t xml:space="preserve"> </w:t>
      </w:r>
      <w:r w:rsidRPr="00401ECA">
        <w:rPr>
          <w:spacing w:val="-6"/>
          <w:sz w:val="20"/>
          <w:lang w:val="sr-Cyrl-RS"/>
        </w:rPr>
        <w:t>Печаћење, као инспекцијска радња, утврђено је и  одређеним посебним инспекцијским законима:</w:t>
      </w:r>
      <w:r w:rsidRPr="00401ECA">
        <w:rPr>
          <w:i/>
          <w:spacing w:val="-6"/>
          <w:sz w:val="20"/>
          <w:lang w:val="sr-Cyrl-RS"/>
        </w:rPr>
        <w:t>Законом о трговини</w:t>
      </w:r>
      <w:r w:rsidRPr="00401ECA">
        <w:rPr>
          <w:spacing w:val="-6"/>
          <w:sz w:val="20"/>
          <w:lang w:val="sr-Cyrl-RS"/>
        </w:rPr>
        <w:t xml:space="preserve">, </w:t>
      </w:r>
      <w:r w:rsidRPr="00401ECA">
        <w:rPr>
          <w:i/>
          <w:spacing w:val="-6"/>
          <w:sz w:val="20"/>
          <w:lang w:val="sr-Cyrl-RS"/>
        </w:rPr>
        <w:t>Законом о електронским комуникацијама</w:t>
      </w:r>
      <w:r w:rsidRPr="00401ECA">
        <w:rPr>
          <w:spacing w:val="-6"/>
          <w:sz w:val="20"/>
          <w:lang w:val="sr-Cyrl-RS"/>
        </w:rPr>
        <w:t xml:space="preserve">, </w:t>
      </w:r>
      <w:r w:rsidRPr="00401ECA">
        <w:rPr>
          <w:i/>
          <w:spacing w:val="-6"/>
          <w:sz w:val="20"/>
          <w:lang w:val="sr-Cyrl-RS"/>
        </w:rPr>
        <w:t>Законом о планирању и изградњи</w:t>
      </w:r>
      <w:r w:rsidRPr="00401ECA">
        <w:rPr>
          <w:spacing w:val="-6"/>
          <w:sz w:val="20"/>
          <w:lang w:val="sr-Cyrl-RS"/>
        </w:rPr>
        <w:t xml:space="preserve">, </w:t>
      </w:r>
      <w:r w:rsidRPr="00401ECA">
        <w:rPr>
          <w:i/>
          <w:spacing w:val="-6"/>
          <w:sz w:val="20"/>
          <w:lang w:val="sr-Cyrl-RS"/>
        </w:rPr>
        <w:t>Законом о фискалним касама</w:t>
      </w:r>
      <w:r w:rsidRPr="00401ECA">
        <w:rPr>
          <w:spacing w:val="-6"/>
          <w:sz w:val="20"/>
          <w:lang w:val="sr-Cyrl-RS"/>
        </w:rPr>
        <w:t>, итд.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258"/>
    <w:rsid w:val="001C2258"/>
    <w:rsid w:val="0040522D"/>
    <w:rsid w:val="0093090B"/>
    <w:rsid w:val="00942E6A"/>
    <w:rsid w:val="00AB6ADF"/>
    <w:rsid w:val="00B47A5D"/>
    <w:rsid w:val="00E17AE6"/>
    <w:rsid w:val="00F879A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2E66"/>
  <w15:chartTrackingRefBased/>
  <w15:docId w15:val="{AD0E5CB1-B920-4007-9DB6-73B41651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58"/>
    <w:pPr>
      <w:spacing w:after="0" w:line="360" w:lineRule="auto"/>
      <w:ind w:firstLine="720"/>
      <w:jc w:val="both"/>
    </w:pPr>
    <w:rPr>
      <w:rFonts w:ascii="Times New Roman" w:eastAsia="Times New Roman" w:hAnsi="Times New Roman" w:cs="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1C2258"/>
    <w:rPr>
      <w:sz w:val="20"/>
    </w:rPr>
  </w:style>
  <w:style w:type="character" w:customStyle="1" w:styleId="FootnoteTextChar">
    <w:name w:val="Footnote Text Char"/>
    <w:aliases w:val="Footnote Text Char1 Char Char,Footnote Text Char Char Char Char Char Char,Footnote Text Char Char Char1 Char Char,Footnote Text Char Char1 Char Char,single space Char Char Char,ft Char Char Char,Footnote Text Char Char Char Char"/>
    <w:basedOn w:val="DefaultParagraphFont"/>
    <w:link w:val="FootnoteText"/>
    <w:semiHidden/>
    <w:rsid w:val="001C2258"/>
    <w:rPr>
      <w:rFonts w:ascii="Times New Roman" w:eastAsia="Times New Roman" w:hAnsi="Times New Roman" w:cs="Times New Roman"/>
      <w:sz w:val="20"/>
      <w:szCs w:val="20"/>
      <w:lang w:val="sr-Cyrl-CS"/>
    </w:rPr>
  </w:style>
  <w:style w:type="character" w:styleId="FootnoteReference">
    <w:name w:val="footnote reference"/>
    <w:aliases w:val="ftref"/>
    <w:semiHidden/>
    <w:rsid w:val="001C2258"/>
    <w:rPr>
      <w:vertAlign w:val="superscript"/>
    </w:rPr>
  </w:style>
  <w:style w:type="paragraph" w:customStyle="1" w:styleId="22">
    <w:name w:val="Наслов 2.2."/>
    <w:basedOn w:val="Normal"/>
    <w:rsid w:val="001C2258"/>
    <w:pPr>
      <w:spacing w:before="300" w:after="300" w:line="240" w:lineRule="auto"/>
      <w:ind w:firstLine="0"/>
      <w:jc w:val="center"/>
    </w:pPr>
    <w:rPr>
      <w:rFonts w:ascii="Tahoma" w:hAnsi="Tahoma"/>
      <w:b/>
      <w:sz w:val="22"/>
      <w:szCs w:val="24"/>
    </w:rPr>
  </w:style>
  <w:style w:type="paragraph" w:customStyle="1" w:styleId="a">
    <w:name w:val="Текст"/>
    <w:basedOn w:val="Normal"/>
    <w:rsid w:val="001C2258"/>
    <w:pPr>
      <w:spacing w:line="240" w:lineRule="auto"/>
      <w:ind w:firstLine="567"/>
    </w:pPr>
    <w:rPr>
      <w:sz w:val="22"/>
      <w:szCs w:val="24"/>
    </w:rPr>
  </w:style>
  <w:style w:type="character" w:customStyle="1" w:styleId="StyleFootnoteReference">
    <w:name w:val="Style Footnote Reference"/>
    <w:aliases w:val="ftref + 12 pt"/>
    <w:rsid w:val="001C2258"/>
    <w:rPr>
      <w:sz w:val="22"/>
      <w:vertAlign w:val="superscript"/>
    </w:rPr>
  </w:style>
  <w:style w:type="paragraph" w:customStyle="1" w:styleId="a0">
    <w:name w:val="ГЛАВА"/>
    <w:basedOn w:val="Normal"/>
    <w:rsid w:val="00942E6A"/>
    <w:pPr>
      <w:spacing w:before="300" w:after="300" w:line="240" w:lineRule="auto"/>
      <w:ind w:firstLine="0"/>
      <w:jc w:val="center"/>
    </w:pPr>
    <w:rPr>
      <w:rFonts w:ascii="Tahoma" w:hAnsi="Tahoma"/>
      <w:caps/>
      <w:sz w:val="24"/>
    </w:rPr>
  </w:style>
  <w:style w:type="paragraph" w:customStyle="1" w:styleId="t-9-8">
    <w:name w:val="t-9-8"/>
    <w:basedOn w:val="Normal"/>
    <w:rsid w:val="00B47A5D"/>
    <w:pPr>
      <w:spacing w:before="100" w:beforeAutospacing="1" w:after="100" w:afterAutospacing="1" w:line="240" w:lineRule="auto"/>
      <w:ind w:firstLine="0"/>
      <w:jc w:val="left"/>
    </w:pPr>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2020-05-13T22:20:00Z</dcterms:created>
  <dcterms:modified xsi:type="dcterms:W3CDTF">2020-05-13T22:22:00Z</dcterms:modified>
</cp:coreProperties>
</file>