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4097"/>
        <w:rPr/>
      </w:pPr>
      <w:r>
        <w:t>2</w:t>
      </w:r>
      <w:r>
        <w:t>7.</w:t>
      </w:r>
      <w:r>
        <w:t>03.2020.</w:t>
      </w:r>
      <w:r>
        <w:t xml:space="preserve"> год</w:t>
      </w:r>
      <w:r>
        <w:t>ине</w:t>
      </w:r>
    </w:p>
    <w:p>
      <w:pPr>
        <w:pStyle w:val="style4097"/>
        <w:rPr/>
      </w:pPr>
      <w:r>
        <w:t>Правни факултет Универзитета у Крагујевцу</w:t>
      </w:r>
    </w:p>
    <w:p>
      <w:pPr>
        <w:pStyle w:val="style4097"/>
        <w:rPr/>
      </w:pPr>
      <w:r>
        <w:t>Наставни предмет Ц</w:t>
      </w:r>
      <w:r>
        <w:t>рквено право - основне академске студије</w:t>
      </w:r>
    </w:p>
    <w:p>
      <w:pPr>
        <w:pStyle w:val="style4097"/>
        <w:rPr/>
      </w:pPr>
    </w:p>
    <w:p>
      <w:pPr>
        <w:pStyle w:val="style4097"/>
        <w:rPr/>
      </w:pPr>
      <w:r>
        <w:t>Напомена</w:t>
      </w:r>
      <w:r>
        <w:t xml:space="preserve"> - п</w:t>
      </w:r>
      <w:r>
        <w:t>о уп</w:t>
      </w:r>
      <w:r>
        <w:t>утству проф. Зорана Крстића,</w:t>
      </w:r>
      <w:r>
        <w:t xml:space="preserve"> </w:t>
      </w:r>
      <w:r>
        <w:t>наставни материјал за предавања и веж</w:t>
      </w:r>
      <w:r>
        <w:t xml:space="preserve">бе из изборног предмета Црквено право је обједињен. </w:t>
      </w:r>
      <w:r>
        <w:t>У случају потребе за додатним појашњењима</w:t>
      </w:r>
      <w:r>
        <w:t xml:space="preserve"> веза</w:t>
      </w:r>
      <w:r>
        <w:t>ним за</w:t>
      </w:r>
      <w:r>
        <w:t xml:space="preserve"> предмет,</w:t>
      </w:r>
      <w:r>
        <w:t xml:space="preserve"> студенти се могу јавити на: zvukovic@jura.kg.ac.rs</w:t>
      </w:r>
    </w:p>
    <w:p>
      <w:pPr>
        <w:pStyle w:val="style4097"/>
        <w:rPr/>
      </w:pPr>
    </w:p>
    <w:p>
      <w:pPr>
        <w:pStyle w:val="style4097"/>
        <w:rPr/>
      </w:pPr>
      <w:r>
        <w:t xml:space="preserve">На досадашњим часовима смо направили шири увод о значају религијског феномена, затим о месту, значају и задатку црквеног права. </w:t>
      </w:r>
    </w:p>
    <w:p>
      <w:pPr>
        <w:pStyle w:val="style4097"/>
        <w:rPr>
          <w:i/>
        </w:rPr>
      </w:pPr>
      <w:r>
        <w:t xml:space="preserve">Прва данашња тема је </w:t>
      </w:r>
      <w:r>
        <w:rPr>
          <w:i/>
        </w:rPr>
        <w:t>Црквеноправна књижевност на српском језику.</w:t>
      </w:r>
    </w:p>
    <w:p>
      <w:pPr>
        <w:pStyle w:val="style4097"/>
        <w:numPr>
          <w:ilvl w:val="0"/>
          <w:numId w:val="1"/>
        </w:numPr>
        <w:rPr/>
      </w:pPr>
      <w:r>
        <w:t>У новијој нашој историји (19., 20. и 21. век) постоји богата црквеноправна литература.</w:t>
      </w:r>
    </w:p>
    <w:p>
      <w:pPr>
        <w:pStyle w:val="style4097"/>
        <w:numPr>
          <w:ilvl w:val="0"/>
          <w:numId w:val="1"/>
        </w:numPr>
        <w:rPr/>
      </w:pPr>
      <w:r>
        <w:t>Најзначајнији наши каноничари и црквени правници су били (хронолошки) Јевтимије Јовановић, Евгеније Јовановић, Никанор Ружичић, чија имена је студенту довољно да помене.</w:t>
      </w:r>
    </w:p>
    <w:p>
      <w:pPr>
        <w:pStyle w:val="style4097"/>
        <w:numPr>
          <w:ilvl w:val="0"/>
          <w:numId w:val="1"/>
        </w:numPr>
        <w:rPr>
          <w:i/>
        </w:rPr>
      </w:pPr>
      <w:r>
        <w:t>Најзначајнији наш каноничар је епископ далматински Никодим Милаш (1845-1915). Рођен је у Шибенику а школовао се у Задру, Сремски</w:t>
      </w:r>
      <w:r>
        <w:t xml:space="preserve">м </w:t>
      </w:r>
      <w:r>
        <w:t xml:space="preserve">Карловцима, Бечу и Русији. Више података о биографији студент ће пронаћи у предложеној литератури за испит. Најзначајнија дела су: </w:t>
      </w:r>
      <w:r>
        <w:rPr>
          <w:i/>
        </w:rPr>
        <w:t>Правила православне цркве с тумачењима</w:t>
      </w:r>
      <w:r>
        <w:rPr>
          <w:i/>
        </w:rPr>
        <w:t xml:space="preserve"> – </w:t>
      </w:r>
      <w:r>
        <w:t xml:space="preserve">капитално дело, преведено на многе језике и актуелно до данас, затим </w:t>
      </w:r>
      <w:r>
        <w:rPr>
          <w:i/>
        </w:rPr>
        <w:t xml:space="preserve">Православно црквено право, Црквено казнено право, Православна Далмација </w:t>
      </w:r>
      <w:r>
        <w:rPr>
          <w:i/>
        </w:rPr>
        <w:t xml:space="preserve"> </w:t>
      </w:r>
      <w:r>
        <w:t>и друга дела.</w:t>
      </w:r>
    </w:p>
    <w:p>
      <w:pPr>
        <w:pStyle w:val="style4097"/>
        <w:numPr>
          <w:ilvl w:val="0"/>
          <w:numId w:val="1"/>
        </w:numPr>
        <w:rPr>
          <w:i/>
        </w:rPr>
      </w:pPr>
      <w:r>
        <w:t xml:space="preserve">Чедомиљ Митровић (1870-1934), </w:t>
      </w:r>
      <w:r>
        <w:t xml:space="preserve">био је професор црквеног права на </w:t>
      </w:r>
      <w:r>
        <w:t>П</w:t>
      </w:r>
      <w:r>
        <w:t>равном факултету у Београду, затим и декан</w:t>
      </w:r>
      <w:r>
        <w:t>,</w:t>
      </w:r>
      <w:r>
        <w:t xml:space="preserve"> па ректор Универзитета у Београду.</w:t>
      </w:r>
    </w:p>
    <w:p>
      <w:pPr>
        <w:pStyle w:val="style4097"/>
        <w:numPr>
          <w:ilvl w:val="0"/>
          <w:numId w:val="1"/>
        </w:numPr>
        <w:rPr>
          <w:i/>
        </w:rPr>
      </w:pPr>
      <w:r>
        <w:t>Значајни каноничари двадесетог века су били</w:t>
      </w:r>
      <w:r>
        <w:t xml:space="preserve"> и:</w:t>
      </w:r>
      <w:r>
        <w:t xml:space="preserve"> Сергије Троицки (1878-1972), Бранко Цисарж (1908-1982), Благота Гардашевић (1908-1993) и од живих умировљени епископ захумско-херцеговачки Атанасије Јевтић.</w:t>
      </w:r>
    </w:p>
    <w:p>
      <w:pPr>
        <w:pStyle w:val="style4097"/>
        <w:ind w:firstLine="567"/>
        <w:rPr/>
      </w:pPr>
      <w:r>
        <w:t>Све детаљније информације студент може про</w:t>
      </w:r>
      <w:r>
        <w:t>наћи у предложеној литерату</w:t>
      </w:r>
      <w:r>
        <w:t xml:space="preserve">ри, </w:t>
      </w:r>
      <w:r>
        <w:t xml:space="preserve">а </w:t>
      </w:r>
      <w:r>
        <w:t>посебно скрећемо пажњу на дело епископа далматинског Никодима Милаша.</w:t>
      </w:r>
    </w:p>
    <w:p>
      <w:pPr>
        <w:pStyle w:val="style4097"/>
        <w:ind w:left="720" w:firstLine="0"/>
        <w:rPr/>
      </w:pPr>
    </w:p>
    <w:p>
      <w:pPr>
        <w:pStyle w:val="style4097"/>
        <w:ind w:firstLine="567"/>
        <w:rPr/>
      </w:pPr>
      <w:r>
        <w:t xml:space="preserve">Следећих 7 испитних питања се односе на </w:t>
      </w:r>
      <w:r>
        <w:rPr>
          <w:i/>
        </w:rPr>
        <w:t>изворе црквеног  права.</w:t>
      </w:r>
      <w:r>
        <w:t xml:space="preserve"> То су: Стари и Нови Завет, Свето предање, Обичај и канони васељенских и помесних сабора</w:t>
      </w:r>
      <w:r>
        <w:t xml:space="preserve">, </w:t>
      </w:r>
      <w:r>
        <w:t>као и канони светих отаца</w:t>
      </w:r>
      <w:r>
        <w:t>. Ово су сви извори црквеног права</w:t>
      </w:r>
      <w:r>
        <w:t xml:space="preserve">, </w:t>
      </w:r>
      <w:r>
        <w:t>а ми бисмо посебну пажњу желели да обратимо на каноне васељенских сабора.</w:t>
      </w:r>
    </w:p>
    <w:p>
      <w:pPr>
        <w:pStyle w:val="style4097"/>
        <w:numPr>
          <w:ilvl w:val="0"/>
          <w:numId w:val="2"/>
        </w:numPr>
        <w:rPr>
          <w:i/>
        </w:rPr>
      </w:pPr>
      <w:r>
        <w:t xml:space="preserve">Саборност је једна од кључних својстава Цркве. Васељенски сабор је, како пише Никодим Милаш, </w:t>
      </w:r>
      <w:r>
        <w:rPr>
          <w:i/>
        </w:rPr>
        <w:t>скуп пастира и у</w:t>
      </w:r>
      <w:r>
        <w:rPr>
          <w:i/>
        </w:rPr>
        <w:t>читеља Цркве, сабраних по могућности из свију крајева хришћанског света</w:t>
      </w:r>
      <w:r>
        <w:t xml:space="preserve">, </w:t>
      </w:r>
      <w:r>
        <w:rPr>
          <w:i/>
        </w:rPr>
        <w:t>да заједнички одлуче</w:t>
      </w:r>
      <w:r>
        <w:rPr>
          <w:i/>
        </w:rPr>
        <w:t xml:space="preserve"> о питањима која се тичу све Цркве и чије одлуке тада прима и признаје сва Црква.</w:t>
      </w:r>
    </w:p>
    <w:p>
      <w:pPr>
        <w:pStyle w:val="style4097"/>
        <w:numPr>
          <w:ilvl w:val="0"/>
          <w:numId w:val="2"/>
        </w:numPr>
        <w:rPr>
          <w:i/>
        </w:rPr>
      </w:pPr>
      <w:r>
        <w:t>Да би један сабор био васељенског значаја мора испуњавати спољашње и унутрашње услове. Више о овим условима студент ће пронаћи у литератури.</w:t>
      </w:r>
    </w:p>
    <w:p>
      <w:pPr>
        <w:pStyle w:val="style4097"/>
        <w:numPr>
          <w:ilvl w:val="0"/>
          <w:numId w:val="2"/>
        </w:numPr>
        <w:rPr>
          <w:i/>
        </w:rPr>
      </w:pPr>
      <w:r>
        <w:t xml:space="preserve">Задатак васељенских сабора је да </w:t>
      </w:r>
      <w:r>
        <w:t>формулишу догмате Цркве, испитују и утврђују Предање Црк</w:t>
      </w:r>
      <w:r>
        <w:t>ве, прегледају каноне ранијих сабора, доносе нове каноне којима се регулише живот Цркве, врше судску власт над свим епископима и аутокефалним црквама</w:t>
      </w:r>
    </w:p>
    <w:p>
      <w:pPr>
        <w:pStyle w:val="style4097"/>
        <w:numPr>
          <w:ilvl w:val="0"/>
          <w:numId w:val="2"/>
        </w:numPr>
        <w:rPr>
          <w:i/>
        </w:rPr>
      </w:pPr>
      <w:r>
        <w:t>Православна Црква у својој досадашњој историји прихвата седам васељенских сабора и њихове формулисане догмате</w:t>
      </w:r>
      <w:r>
        <w:t xml:space="preserve">, </w:t>
      </w:r>
      <w:r>
        <w:t>као и каноне</w:t>
      </w:r>
      <w:r>
        <w:t xml:space="preserve">, </w:t>
      </w:r>
      <w:r>
        <w:t xml:space="preserve">сматра општеобавезним за целу Цркву. Више о васељенским саборима и њиховим одлукама студент може пронаћи у предложеној литетатури. </w:t>
      </w:r>
    </w:p>
    <w:bookmarkStart w:id="0" w:name="_GoBack"/>
    <w:bookmarkEnd w:id="0"/>
    <w:p>
      <w:pPr>
        <w:pStyle w:val="style4097"/>
        <w:rPr/>
      </w:pPr>
    </w:p>
    <w:sectPr>
      <w:footerReference w:type="default" r:id="rId2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3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51AE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0B02EAE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српски"/>
    <w:basedOn w:val="style0"/>
    <w:next w:val="style4097"/>
    <w:link w:val="style4098"/>
    <w:qFormat/>
    <w:pPr>
      <w:spacing w:lineRule="auto" w:line="480"/>
      <w:ind w:firstLine="720"/>
      <w:jc w:val="both"/>
    </w:pPr>
    <w:rPr>
      <w:rFonts w:ascii="Times New Roman" w:hAnsi="Times New Roman"/>
      <w:sz w:val="24"/>
    </w:rPr>
  </w:style>
  <w:style w:type="character" w:customStyle="1" w:styleId="style4098">
    <w:name w:val="српски Char"/>
    <w:basedOn w:val="style65"/>
    <w:next w:val="style4098"/>
    <w:link w:val="style4097"/>
    <w:rPr>
      <w:rFonts w:ascii="Times New Roman" w:hAnsi="Times New Roman"/>
      <w:sz w:val="24"/>
    </w:r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Words>2454</Words>
  <Characters>2547</Characters>
  <Application>Kingsoft Office Writer</Application>
  <DocSecurity>0</DocSecurity>
  <Paragraphs>24</Paragraphs>
  <ScaleCrop>false</ScaleCrop>
  <LinksUpToDate>false</LinksUpToDate>
  <CharactersWithSpaces>2962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2020-03-24T18:59:00Z</dcterms:created>
  <dc:creator>zorank62@gmail.com</dc:creator>
  <lastModifiedBy>Kingsoft Office</lastModifiedBy>
  <dcterms:modified xsi:type="dcterms:W3CDTF">2020-03-26T19:23:27Z</dcterms:modified>
  <revision>2</revision>
</coreProperties>
</file>