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B2">
        <w:rPr>
          <w:rFonts w:ascii="Times New Roman" w:hAnsi="Times New Roman" w:cs="Times New Roman"/>
          <w:b/>
          <w:sz w:val="24"/>
          <w:szCs w:val="24"/>
        </w:rPr>
        <w:t>ЕВРОПСКА КОНВЕНЦИЈА О ЗАШТИТИ ЉУДСКИХ ПРАВА И СЛОБОДА</w:t>
      </w: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Европска конвенција представља капиталан међународни правни документ у области људских права. Његову правну и политичку снагу додатно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појачава чињеница да је овај документ саставни део унутрашњих правних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поредака европских држава, па представља извор правне обавезности и за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унутрашња права.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Европску конвенцију је донео Савет Европе, који представља прву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европску регионалну организацију, основану 1949. године у Лондону, 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чијем чланству је 47 држава, чија је активност усмерена на усклађивање 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побољшавање њихових политика у свим областима друштвеног живота.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Статут Савета Европе се заснива на принципима поштовања и заштите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људских права и основних слобода, као и начела правне државе. У складу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са тим, Статутом је предвиђено да озбиљније кршење права и слобода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појединаца од стране органа државне власти представља основ за суспензију чланства у овој организацији или основ за искључење државе из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Савета Европе.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Доказ посвећености Савета Европе промовисању и заштити људских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права представља управо усвајање Европске конвенције 1950. године у Риму.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Основни услов чланства у Савету Европе је ратификовање и примена Европске конвенције, тако да свака држава која жели постати део ове велике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европске породице, мора прихватити начела владавине права и уживања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људских права и основних слобода свих лица унутар своје јурисдикције.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Европском конвенцијом су прописане обавезе државе које су је усвојиле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 оних које јој приступе, међу којима посебно треба истаћи следеће обавезе: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– Обавеза држава чланица Конвенције да свим људима под њиховом јурисдикцијом омогуће уживање њихових права и основних слобода, најмање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у капацитету утврђеном Конвенцијом;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– Обавеза држава чланица да отклоне свако кршење права и слобода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заштићених Конвенцијом;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– Обавеза држава чланица да својим грађанима, невладиним организацијама, другим групама појединаца, као и странцима који бораве на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њиховој територији, омогуће несметан поступак пред Европским судом за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људска права и слободе, ако би права и слободе били нарушени од стране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органа јавне власти одређене државе.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С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ваки појединац располаже правом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да се непосредно позове на Европску конвенцију у поступцима приликом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остваривања и заштите ових права, при чему располаже и правом да се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обрати и Европском суду за људска права, под одређеним условима.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Европска конвенција садржи каталог грађанских и политич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к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их права 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успоставља посебан институционални механизам за гаранцију и заштиту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људски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х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 права од стране држава чланица. Структурална композиција Европске конвенције је </w:t>
      </w:r>
      <w:r>
        <w:rPr>
          <w:rFonts w:ascii="Times New Roman" w:eastAsia="MinionPro-Regular" w:hAnsi="Times New Roman" w:cs="Times New Roman"/>
          <w:sz w:val="24"/>
          <w:szCs w:val="24"/>
        </w:rPr>
        <w:t>ви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шеделна.</w:t>
      </w: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B2">
        <w:rPr>
          <w:rFonts w:ascii="Times New Roman" w:hAnsi="Times New Roman" w:cs="Times New Roman"/>
          <w:b/>
          <w:sz w:val="24"/>
          <w:szCs w:val="24"/>
        </w:rPr>
        <w:t>Члан 6. Европске конвенције</w:t>
      </w: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BB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</w:t>
      </w:r>
      <w:r w:rsidRPr="00BD3BB2">
        <w:rPr>
          <w:rFonts w:ascii="Times New Roman" w:hAnsi="Times New Roman" w:cs="Times New Roman"/>
          <w:b/>
          <w:i/>
          <w:sz w:val="24"/>
          <w:szCs w:val="24"/>
        </w:rPr>
        <w:t>раво на правично суђење</w:t>
      </w: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Свако, током одлучивања о његовим грађанским правима и обавезама или о кривичној оптужби против њега, има право на правичну и јавну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расправу у разумном року пред независним и непристрасним судом, образованим на основу закона. Пресуда се изриче јавно, али се штампа и јавност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могу искључити с целог или с дела суђења у интересу морала, јавног реда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или националне безбедности у демократском друштву, када то захтевају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интереси малолетника или заштита приватног живота странака, или у мери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lastRenderedPageBreak/>
        <w:t>која је, по мишљењу суда, нужно потребна у посебним околностима када би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јавност могла да нашкоди интересима правде.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Свако ко је оптужен за кривично дело сматраће се невиним све док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се не докаже његова кривица на основу закона.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Свако ко је оптужен за кривично дело има следећа минимална права: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а) да у најкраћем могућем року, подробно и на језику који разуме, буде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обавештен о природи и разлозима за оптужбу против њега;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б) да има довољно времена и могућности за припремање одбране;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в) да се брани лично или путем браниоца кога сам изабере, или, ако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нема довољно средстава да плати за правну помоћ, да ову помоћ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добије бесплатно када интереси правде то захтевају;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г) да испитује сведоке против себе или да постигне да се они испитују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 да се обезбеди присуство и саслушање сведока у његову корист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под истим условима који важе за оне који сведоче против њега;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д) да добије бесплатну помоћ преводиоца ако не разуме или не говори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језик који се употребљава на Суду.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Као што се може закључити већ на први поглед, право на правично суђење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сложено лично право, кроз које се огледа однос између грађанина и државне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власти, али се у њему истовремено рефлектује и начин на који се обезбеђује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остваривање правне заштите људских и мањинских права и слобода. Право 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правично суђење је истовремено посебно право, само по себи, али је и посебно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средство у функцији могућности да се оствари правна заштита других људских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 мањинских права и слобода. Уставни концепт права на правично суђење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подразумева да оно припада свакоме, сваком лицу (физичком и правном) 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чијим је правним овлашћењима и правним обавезама неопходно одлучити, с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обзиром да су она предмет одређеног спора, било да само лице покреће такво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питање или је оно покренуто од стране другог лица или државе.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Прво питање са којим се сусрећемо приликом разумевања одредбе чл</w:t>
      </w:r>
      <w:r>
        <w:rPr>
          <w:rFonts w:ascii="Times New Roman" w:eastAsia="MinionPro-Regular" w:hAnsi="Times New Roman" w:cs="Times New Roman"/>
          <w:sz w:val="24"/>
          <w:szCs w:val="24"/>
        </w:rPr>
        <w:t>. 6.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Конвенције тиче се питања на коју врсту поступака се овај члан односи: да ли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само на кривичне или и на кривичне и на грађанске поступке. Било да је реч 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одлучивању о грађанским правима или о кривичним оптужбама, примењива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одредба чл. 6. Конвенције. Када је реч о кривичним предметима, гаранције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прописане овим чланом се односе не само на суђење, већ и на истрагу која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претходи суђењу, дакле и на поступке које спроводе полиција и тужилаштво.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Осим тога, примењивост ове одредбе се односи и на поступке након суђења, који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се тичу извршења пресуде, јер би заштита била илузорна, уколико не би била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оперативно извршна. Тако је, на пример, у једном случају против Русије, Суд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наложио да се подносиоцу представке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,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зато што је био изложен радиоактивном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зрачењу, исплати накнада. У свом ставу, Суд је нагласио да </w:t>
      </w:r>
      <w:r w:rsidRPr="00BD3BB2">
        <w:rPr>
          <w:rFonts w:ascii="Times New Roman" w:hAnsi="Times New Roman" w:cs="Times New Roman"/>
          <w:i/>
          <w:iCs/>
          <w:sz w:val="24"/>
          <w:szCs w:val="24"/>
        </w:rPr>
        <w:t>суочавање државе са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hAnsi="Times New Roman" w:cs="Times New Roman"/>
          <w:i/>
          <w:iCs/>
          <w:sz w:val="24"/>
          <w:szCs w:val="24"/>
        </w:rPr>
        <w:t>финансијским потешкоћама не може бити оправдање за неизвршавање пресуде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односно, у поступцима против државе у којима она изгуби, извршење пресуда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мора наступити аутоматски, без размишљања и опструирања извршења.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Потребно је истаћи и да се право на породични живот прописан чл</w:t>
      </w:r>
      <w:r>
        <w:rPr>
          <w:rFonts w:ascii="Times New Roman" w:eastAsia="MinionPro-Regular" w:hAnsi="Times New Roman" w:cs="Times New Roman"/>
          <w:sz w:val="24"/>
          <w:szCs w:val="24"/>
        </w:rPr>
        <w:t>. 8.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Конвенције такође може довести у везу са правилима из одредбе чл. 6, која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примењива поводом управних фаза поступака који се воде поводом повреде права на породични живот. Иако сам чл. 6. не гарантује право жалбе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потребно је имати у виду одредбу чл. 2. Протокола VII, чија се садржина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управо своди на заштиту права на жалбу. Такође, одредбе чл. 6. Конвенције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примењиве су и у поступцима који се воде пред уставним судовима, али чак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 пред Европским судом правде, сходно праву Европске уније.</w:t>
      </w: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D3BB2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Значење грађанских права</w:t>
      </w: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Значење грађанских права и обавеза у Европској конвенцији се не подудара увек са значењем таквих израза у унутрашњим, националним правним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порецима. Тим поводом, Суд има обимну јуриспруденцију која је настала као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резултат решавања предмета и судске праксе. Прво је неопходно утврдити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ли неко одређено право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,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 које се разматра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,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 постоји у домаћем законодавству, па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након тога да се утврди да ли је то грађанско право или није. Многе државе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су покушале да оспоре примењивост одредбе чл. 6. Конвенције тврдњом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поступак који се водио унутар државе управни поступак и да се њиме 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одлучује о неком грађанском праву. Током времена, Суд је, применом метода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прогресивног тумачења, постепено ширио опсег оних предмета и поступака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за које је утврђивао да се могу подвести под значење грађанских права. Тако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на пример, у ранијој пракси Суда се није сматрало да социјално осигурање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потпада под режим грађанских права, али је временом овакав став промењен.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Приликом утврђивања да ли је право о коме је реч грађанско право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смислу Конвенције, прво се утврђује карактер самог права. При томе је ирелевантан, односно, мање је значајан карактер националног законодавства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којим је регулисано одређено право. Тако је, на пример, у једном предмету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против Аустрије, Суд стао на становиште да се под грађанским правом има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подразумевати и управни поступак који се у Аустрији води за регистровање преноса земљишта, без обзира што су та питања регулисана управним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поступком. Такође,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није значајно ни то да ли су државни органи наступали у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својству приватног лица или у сувереном капацитету државе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, јер је кључно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питање да ли је исход поступка од одлучујућег значаја за грађанска права 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обавезе. Тим поводом, могуће су и ситуације у којима се држава појављује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равноправној улози у односу према појединцу или у улози носиоца капацитета јавне власти. Наравно, мањи је проблем утврдити постојање грађанских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права поводом спора који се води између приватних лица. Међутим, и ако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се неки предмет тиче односа између појединца и државе, Суд у извесном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броју случајева је признавао таква права и обавезе као грађанска. Тако је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рецимо, закључио да је имовина једна од оних области на које је одредба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чл. 6. Конвенције примењива. Осим тога, на поступке експропријације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планирања, издавања грађевинских дозвола и других имовинских дозвола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за некретнине, примењива је ова одредба Конвенције.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Осим имовине, она је примењива и у областима бављења комерцијалним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делатностима, као што су право на одузимање дозволе за точење алкохола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неком ресторану, одузимање дозволе за медицинску клинику, издавање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дозволе за отварање и вођење приватне школе, одлучивање о правима бављења медицинском или правничком професијом итд. Такође, и области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поверавања деце на старање, право родитељског приступа деци, давање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деце на усвајање, њихово поверавање хранитељским породицама, све су то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области које су биле предмет разматрања Суда, у којима је он заузимао став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 примењивости одредбе чл. 6. Конвенције.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Грађанско право, у смислу одредбе чл. 6. Конвенције обухвата и поступке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који се воде против јавне управе а односе се на уговоре, затим, поступке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поводом штете нанете у управном поступку или кривичном поступку; накнаде због незаконитог притвора после ослобађајуће пресуде у кривичном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поступку; право на повраћај новчаних средстава уплаћених на име пореза.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Такође, грађанским правом сматра се и право појединца да неко друго физичко лице поштује његов углед, па то укључује и оне судске и друге јавноправне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поступке чији исход може бити одлучујући за грађанска права.</w:t>
      </w: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lastRenderedPageBreak/>
        <w:t>Значење кривичне оптужбе</w:t>
      </w: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Имајући у виду различито терминолошко и нормативно одређење правних категорија везаних за термине кривична оптужба, Суд је утврдио критеријуме за одлучивање о томе да ли је оптужба кривична, у смислу одредбе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чл. 6. Конвенције. Ови критеријуми су потврђени и изграђени кроз саму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праксу поступања Суда. Реч је о следећим критеријумима: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– Класификација у унутрашњем законодавству и природа извршеног дела;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– Сврха казне;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– Природа и тежина казне.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Ако је оптужба у унутрашњем праву државе чланице класификована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као кривична, онда се аутоматски примењује одредба чл. 6. Конвенције.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Међутим, ако оптужба у унутрашњем законодавству није оквалификована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као кривична, то не значи да није примењива одредба чл. 6. Конвенције.</w:t>
      </w:r>
    </w:p>
    <w:p w:rsidR="00BD3BB2" w:rsidRPr="00D33055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Јер, како сам Суд истиче,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када би државе 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</w:rPr>
        <w:t>могле по сопственом нахођењу да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опредељују неко дело уместо кривичног као, 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</w:rPr>
        <w:t>на пример, прекршајно, могло би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се доћи у ситуцију избегавања примене Европске конвенције што 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</w:rPr>
        <w:t>би било не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допустиво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. Тако је, на пример, у једном случају против Словачке, Суд заузео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став да је реч о кривичном поступку, иако је по унутрашњем законодавству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Словачке то дело било квалификовано као дело из управне области. Таквих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примера има и по питању дисциплинских поступака. Зато се Суд руководи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самом природом извршеног дела, без обзира на класификацију тог дела која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извршена у националном законодавству.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Критеријум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сврха казне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има за циљ да се направи разлика између кривичних и чисто административних санкција. У једном предмету против Немачке</w:t>
      </w:r>
      <w:r w:rsidR="00D33055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Суд је разматрао случај који се односио на несмотрену вожњу која је у Немачкој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декриминализована. Међутим, Суд је јасно заузео став да је таква вожња 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даље кривична материја, јер је општепримењива на све учеснике у саобраћају, 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примењена је уз санкцију која је кривичног и превентивног карактера (конкретно, реч је о новчаној казни). Када се, пак, у неком предмету ради о казни чија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суштина да се лице одврати од понављања вршења кривичног дела, онда 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таква казна у сфери кривичног права. А уколико је реч о материјалној накнади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учињене штете – неће бити третирана као кривична сфера.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Ако по сврси казне, на неки случај не може бити примењива одредба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чл. 6. Конвенције у смислу кривичне материје, онда се разматра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природа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и тежина казне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. Прва је претпоставка да казна лишења слободе спада у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кривичну сферу, осим када је реч о оним лишењима слободе која по својој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природи, трајању или начину извршења нису значајно штетна. Тако, 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пример, дужина затворске казне од два дана није довољна да би се та казна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сматрала кривичном. Међутим, сама могућност лишења слободе може бити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довољна за примењивост одредбе чл. 6. Ковненције, без обзира што на крају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таквог поступка лице није добило казну лишења слободе, али је постојала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таква могућност.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D33055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  <w:r w:rsidRPr="00D33055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Значење оптужбе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Оптужба је, по Конвенцији, аутономан појам који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се примењује без обзира на дефиницију оптужбе у унутрашњем праву. По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ставу Суда,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оптужба је званично обавештење које надлежни орган власти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даје појединцу о наводима да је то лице починило кривично дело или када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постоји ситуација која битно утиче на осумњиченог због постојања саме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сумње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. Тако, на пример, у случају против Белгије, после извештаја о томе да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подносилац представке прекршио извесне прописе о ценама, тужилац 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lastRenderedPageBreak/>
        <w:t>наложио привремено затварање његове продавнице. Кривични поступак није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никада покренут, јер према решењу белгијског законодавства, подносилац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представке је прихватио ванпарничну нагодбу. Ипак, Суд је утврдио да 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против њега била поднета кривична оптужба.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Под појмом кривична оптужба спадају и следеће ситуације: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к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ада је лице први пут испитивано у својству осумњиченог;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к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ада је издат налог за хапшење лица због почињеног кривичног дела;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к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ада је лице званично обавештено да се против њега води кривични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поступак;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к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ада истражни органи који се баве царинским прекршајима захтевају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 неког лица да предочи доказе и замрзну његов банковни рачун;</w:t>
      </w:r>
    </w:p>
    <w:p w:rsidR="00D33055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к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ада је лице именовало адвоката пошто је тужилац покренуо поступак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на основу полицијског извештаја који је против њега покренут</w:t>
      </w:r>
      <w:r w:rsidR="00D33055">
        <w:rPr>
          <w:rFonts w:ascii="Times New Roman" w:eastAsia="MinionPro-Regular" w:hAnsi="Times New Roman" w:cs="Times New Roman"/>
          <w:sz w:val="24"/>
          <w:szCs w:val="24"/>
        </w:rPr>
        <w:t>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Оног тренутка када је утврђено да је лице предмет неке кривичне оптужбе, примењују се све гаранције садржане у одредби чл. 6. Конвенције.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Утврдити тренутак почетка кривичне оптужбе је значајно и са становишта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рачунања разумног рока трајања одговарајућег судског поступка.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  <w:r w:rsidRPr="00D33055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Јавност расправе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D33055" w:rsidRP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Јавна расправа је суштинска карактеристика права на правично суђење</w:t>
      </w:r>
      <w:r w:rsidR="00D33055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јер се њоме онемогућује дељење правде у тајности и без јавног надзора.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Њоме се, такође, одржава поверење у судове, па јавност доприноси остваривању циља правичног суђења. Јавност је опште правило о вођењу поступка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пред судом, али од њега постоји и изузетак, односно, могућност да јавност буде искључена током читавог поступка или у једном његовом делу.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Изузеци у односу на јавну расправу су стандардизовани и тичу се оних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ситуација, када је искључење јавности у интересу морала, јавног реда или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националне безбедности у демократском друштву, када то захтевају интереси малолетника или заштита приватног живота странака или да не би, у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конкретним околностима, дошло до повреде интереса правде.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Не постоји општи захтев да се пред апелационим судом одвија усмени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претрес, али само онда када апелациони суд одбацује жалбу на основу права.</w:t>
      </w:r>
    </w:p>
    <w:p w:rsidR="00BD3BB2" w:rsidRPr="00D33055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Међутим,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када апелациони суд мора да се 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</w:rPr>
        <w:t>позабави и чињеницама и правом,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као и да одлучи о кривици или невиности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оптуженог лица, или да процени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карактер оптуженог приликом преиспити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</w:rPr>
        <w:t>вања казне, неопходан је усмени</w:t>
      </w:r>
      <w:r w:rsidR="00D33055"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претрес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.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  <w:r w:rsidRPr="00D33055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Разумни рок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D33055" w:rsidRP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Највећи број пресуда Суд је изрекао поводом питања непоштовања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права на расправу у разумном року, односно, превеликог трајања дужине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суђења. Тако је, на пример, Суд закључио да у италијанском правосудном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систему долази до систематског кашњења, што је у потпуном нескладу са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Конвенцијом. Суд је јасно истакао своју општу поруку свим државама да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постојање правног лека само по себи није довољно, а да домаћи судови морају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бити способни да непосредно примењују пресуде Европског суда и да држава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има обавезу да олакша упознавање грађана са тим пресудама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. Ово право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израз старе изреке да спора правда заправо и није правда, већ то може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бити само она која је ефикасна. Такође, ефикасношћу судских поступака се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остварује и принцип правне сигурности.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lastRenderedPageBreak/>
        <w:t>Време за разумни рок се у грађанскоправним поступцима рачуна од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тренутка покретања поступка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 у кривичноправним од тренутка подизања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оптужбе. Дакле, не оптужнице, већ оптужбе, у смислу Европске конвенције.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Рок престаје да тече када је поступак окончан на највишој могућој судској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инстанци, односно, када је одлука правноснажна и када је пресуда извршена.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Приликом оцењивања дужине трајања рока и да ли је он разуман или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не, Суд узима у обзир следеће чиниоце: сложеност предмета, понашање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подносиоца представке, понашање судских и управних органа државе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="00D33055">
        <w:rPr>
          <w:rFonts w:ascii="Times New Roman" w:eastAsia="MinionPro-Regular" w:hAnsi="Times New Roman" w:cs="Times New Roman"/>
          <w:sz w:val="24"/>
          <w:szCs w:val="24"/>
        </w:rPr>
        <w:t>ка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о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 то које је право подносиоца у самом предмету угрожено.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  <w:r w:rsidRPr="00D33055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Независан и непристрасан суд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D33055" w:rsidRP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Независност суда, Европски суд разматра на основу следећих чинилаца: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н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ачин постављања судија;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т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рајање мандата;</w:t>
      </w:r>
    </w:p>
    <w:p w:rsidR="00BD3BB2" w:rsidRPr="00BD3BB2" w:rsidRDefault="001849B0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п</w:t>
      </w:r>
      <w:r w:rsidR="00BD3BB2" w:rsidRPr="00BD3BB2">
        <w:rPr>
          <w:rFonts w:ascii="Times New Roman" w:eastAsia="MinionPro-Regular" w:hAnsi="Times New Roman" w:cs="Times New Roman"/>
          <w:sz w:val="24"/>
          <w:szCs w:val="24"/>
        </w:rPr>
        <w:t>остојање гаранција које штите од спољног притиска;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–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д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 ли судско тело оставља утисак независног тела.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Непристрасност може бити субјективна и објективна. Да би се доказала субјективна непристрасност, Европски суд захтева доказе конкретне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пристрасности. Све док се не докаже супротно,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претпоставља се да постоји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i/>
          <w:iCs/>
          <w:sz w:val="24"/>
          <w:szCs w:val="24"/>
        </w:rPr>
        <w:t>лична непристрасност прописно постављеног судије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. Европски суд је, 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пример, критиковао председавајућег судију у Летонији у једном предмету</w:t>
      </w:r>
      <w:r w:rsidR="00D33055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јер је у штампи коментарисао предмет пре него што је суђење било завршено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тако што је говорио о могућности осуде или делимичног ослобађања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али 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одбацио могућност потпуног ослобађања оптуженог. Таквим коментаром 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прекршио непристрасност.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Тест објективне непристрасности подразумева да се утврди потпуно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одвојено од личног понашања судије, да ли је било доказивих чињеница које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могу узроковати сумњу у његову непристрасност. Чак и утисак који судија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оставља може имати значај. Важно је поверење које судови у демократском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друштву морају уливати у јавности. Став окривљеног јесте важан, али није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одлучујући, јер је најбитније да ли се страх од пристрасности судије може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сматрти оправданим. Тако, на пример, муж једне од судија која је одлучивала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у тужби подносиоца представке против неке банке имао је финансијске везе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са том банком. Ти повољно аранжмани су навели Суд да закључи да, иако није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било ничега што би представљало наговештај стварне пристрасности, при</w:t>
      </w:r>
      <w:r w:rsidR="00D33055">
        <w:rPr>
          <w:rFonts w:ascii="Times New Roman" w:eastAsia="MinionPro-Regular" w:hAnsi="Times New Roman" w:cs="Times New Roman"/>
          <w:sz w:val="24"/>
          <w:szCs w:val="24"/>
        </w:rPr>
        <w:t>-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тужбе на рачун објективне непристрасности су оправдане, па је прекршена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одредба чл. 6. Конвенције. У једном предмету против Француске, неко треће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лице је чуло од једног поротника како каже за себе да је расиста. Домаћи суд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 одлучио да не може формално узети у обзир догађаје који су се наводно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десили без његовог присуства. Европски суд је, пак, стао на становиште да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домаћи суд није ни на који начин проверио непристрасност, чиме је лишио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подносиоца представке могућности да исправи ситуацију, што је супротно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одредби чл. 6. Конвенције.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  <w:r w:rsidRPr="00D33055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Суд установљен на основу закона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D33055" w:rsidRP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У предмету против Летоније, утврђено је да суд није био образован 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основу закона. У судском већу била су двојица судија лаичких судија поротника чије је претходне одлуке у том предмету поништио виши суд. По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летонским законима, они нису имали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lastRenderedPageBreak/>
        <w:t>право да поново суде у истом предмету,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па зато тај суд није био образован у складу са законом.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У предмету против Русије, Европски суд је утврдио да је дошло до повреде права на суд образован на основу закона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јер је подносиоца представке осудио суд који је био основан противно унутрашњем законодавству. По овом законодавству, имена судија поротника требало је да буду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извучена жребом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а надлежни орган није чак поседовао ни списак судија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поротника који су именовани у време када је подносилац представке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осуђен.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  <w:r w:rsidRPr="00D33055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Правична расправа</w:t>
      </w:r>
    </w:p>
    <w:p w:rsid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D33055" w:rsidRPr="00D33055" w:rsidRDefault="00D33055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Правична расправа обухвата право на приступ суду, право на расправу у присуству оптуженог, право лица да не оптужује само себе, једнакост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странака, право на акузаторни поступак и право на образложену пресуду.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Право на приступ суду није апсолутно право. Сама природа овог права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ствара обавезу за државу да га уреди тако да не сме бити угрожена суштина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овог права. Право на приступ суду може бити ограничено, и то сагласно са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чланом 6. Конвенције, под условом да такво ограничење: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1)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т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ежи легитимном циљу;</w:t>
      </w:r>
    </w:p>
    <w:p w:rsidR="00BD3BB2" w:rsidRPr="00BD3BB2" w:rsidRDefault="00BD3BB2" w:rsidP="00BD3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2) 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>дефинише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 разуман однос сразмере између коришћених средстава и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 xml:space="preserve">циља коме се </w:t>
      </w:r>
      <w:bookmarkStart w:id="0" w:name="_GoBack"/>
      <w:bookmarkEnd w:id="0"/>
      <w:r w:rsidRPr="00BD3BB2">
        <w:rPr>
          <w:rFonts w:ascii="Times New Roman" w:eastAsia="MinionPro-Regular" w:hAnsi="Times New Roman" w:cs="Times New Roman"/>
          <w:sz w:val="24"/>
          <w:szCs w:val="24"/>
        </w:rPr>
        <w:t>тежи.</w:t>
      </w:r>
    </w:p>
    <w:p w:rsidR="008E1F8B" w:rsidRPr="00D33055" w:rsidRDefault="00BD3BB2" w:rsidP="00D33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BD3BB2">
        <w:rPr>
          <w:rFonts w:ascii="Times New Roman" w:eastAsia="MinionPro-Regular" w:hAnsi="Times New Roman" w:cs="Times New Roman"/>
          <w:sz w:val="24"/>
          <w:szCs w:val="24"/>
        </w:rPr>
        <w:t>У случају против Уједињеног Краљевства, затворенику је одбијена дозвола да ступи у контакт са својим адвокатом како би поднео тужбу због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клевете против једног затворског службеника. Суд је заузео став да је дошло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до повреде одредбе чл. 6. Конвенције и то права на приступ суду које не само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да мора постојати, већ мора бити и делотворно. Такође, ускраћено је право</w:t>
      </w:r>
      <w:r w:rsidR="00D33055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BD3BB2">
        <w:rPr>
          <w:rFonts w:ascii="Times New Roman" w:eastAsia="MinionPro-Regular" w:hAnsi="Times New Roman" w:cs="Times New Roman"/>
          <w:sz w:val="24"/>
          <w:szCs w:val="24"/>
        </w:rPr>
        <w:t>на делотворан приступ суду у овом случају већ и због чињенице да је подносиоцу представке онемогућено да води поверљиве разговоре са адвокатом</w:t>
      </w:r>
      <w:r w:rsidR="00D33055">
        <w:rPr>
          <w:rFonts w:ascii="Times New Roman" w:eastAsia="MinionPro-Regular" w:hAnsi="Times New Roman" w:cs="Times New Roman"/>
          <w:sz w:val="24"/>
          <w:szCs w:val="24"/>
        </w:rPr>
        <w:t>.</w:t>
      </w:r>
    </w:p>
    <w:sectPr w:rsidR="008E1F8B" w:rsidRPr="00D330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98" w:rsidRDefault="00855B98" w:rsidP="00D33055">
      <w:pPr>
        <w:spacing w:after="0" w:line="240" w:lineRule="auto"/>
      </w:pPr>
      <w:r>
        <w:separator/>
      </w:r>
    </w:p>
  </w:endnote>
  <w:endnote w:type="continuationSeparator" w:id="0">
    <w:p w:rsidR="00855B98" w:rsidRDefault="00855B98" w:rsidP="00D3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279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3055" w:rsidRDefault="00D330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9B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33055" w:rsidRDefault="00D33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98" w:rsidRDefault="00855B98" w:rsidP="00D33055">
      <w:pPr>
        <w:spacing w:after="0" w:line="240" w:lineRule="auto"/>
      </w:pPr>
      <w:r>
        <w:separator/>
      </w:r>
    </w:p>
  </w:footnote>
  <w:footnote w:type="continuationSeparator" w:id="0">
    <w:p w:rsidR="00855B98" w:rsidRDefault="00855B98" w:rsidP="00D33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B2"/>
    <w:rsid w:val="001849B0"/>
    <w:rsid w:val="00572DE4"/>
    <w:rsid w:val="00855B98"/>
    <w:rsid w:val="008E1F8B"/>
    <w:rsid w:val="00BD3BB2"/>
    <w:rsid w:val="00D3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55"/>
  </w:style>
  <w:style w:type="paragraph" w:styleId="Footer">
    <w:name w:val="footer"/>
    <w:basedOn w:val="Normal"/>
    <w:link w:val="FooterChar"/>
    <w:uiPriority w:val="99"/>
    <w:unhideWhenUsed/>
    <w:rsid w:val="00D3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55"/>
  </w:style>
  <w:style w:type="paragraph" w:styleId="Footer">
    <w:name w:val="footer"/>
    <w:basedOn w:val="Normal"/>
    <w:link w:val="FooterChar"/>
    <w:uiPriority w:val="99"/>
    <w:unhideWhenUsed/>
    <w:rsid w:val="00D3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4</cp:revision>
  <dcterms:created xsi:type="dcterms:W3CDTF">2020-06-02T07:57:00Z</dcterms:created>
  <dcterms:modified xsi:type="dcterms:W3CDTF">2020-06-02T09:14:00Z</dcterms:modified>
</cp:coreProperties>
</file>