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FBDE2" w14:textId="77777777" w:rsidR="009F6E3B" w:rsidRDefault="009F6E3B" w:rsidP="00B136C1">
      <w:pPr>
        <w:pStyle w:val="ListParagraph"/>
        <w:widowControl w:val="0"/>
        <w:autoSpaceDE w:val="0"/>
        <w:autoSpaceDN w:val="0"/>
        <w:adjustRightInd w:val="0"/>
        <w:spacing w:after="240"/>
        <w:ind w:left="0"/>
        <w:jc w:val="center"/>
        <w:rPr>
          <w:rFonts w:cs="Times"/>
          <w:b/>
          <w:lang w:val="sr"/>
        </w:rPr>
      </w:pPr>
    </w:p>
    <w:p w14:paraId="39345314" w14:textId="77777777" w:rsidR="00B136C1" w:rsidRPr="009636AA" w:rsidRDefault="00B136C1" w:rsidP="00B136C1">
      <w:pPr>
        <w:pStyle w:val="ListParagraph"/>
        <w:widowControl w:val="0"/>
        <w:autoSpaceDE w:val="0"/>
        <w:autoSpaceDN w:val="0"/>
        <w:adjustRightInd w:val="0"/>
        <w:spacing w:after="240"/>
        <w:ind w:left="0"/>
        <w:jc w:val="center"/>
        <w:rPr>
          <w:rFonts w:cs="Times"/>
          <w:b/>
          <w:i/>
          <w:lang w:val="de-DE"/>
        </w:rPr>
      </w:pPr>
      <w:r>
        <w:rPr>
          <w:rFonts w:cs="Times"/>
          <w:b/>
          <w:lang w:val="sr"/>
        </w:rPr>
        <w:t>ТРИНА</w:t>
      </w:r>
      <w:r w:rsidRPr="009636AA">
        <w:rPr>
          <w:rFonts w:cs="Times"/>
          <w:b/>
          <w:lang w:val="sr"/>
        </w:rPr>
        <w:t>ЕСТА НЕДЕЉА ПРЕДАВАЊА (</w:t>
      </w:r>
      <w:r w:rsidRPr="009636AA">
        <w:rPr>
          <w:rFonts w:cs="Times"/>
          <w:b/>
          <w:i/>
          <w:lang w:val="sr"/>
        </w:rPr>
        <w:t>18.06.2020.)</w:t>
      </w:r>
    </w:p>
    <w:p w14:paraId="27640726" w14:textId="77777777" w:rsidR="00B136C1" w:rsidRPr="009636AA" w:rsidRDefault="00B136C1" w:rsidP="00B136C1">
      <w:pPr>
        <w:jc w:val="center"/>
        <w:rPr>
          <w:b/>
          <w:i/>
          <w:sz w:val="28"/>
          <w:szCs w:val="28"/>
          <w:lang w:val="sr"/>
        </w:rPr>
      </w:pPr>
    </w:p>
    <w:p w14:paraId="43731153" w14:textId="77777777" w:rsidR="00B136C1" w:rsidRDefault="00B136C1" w:rsidP="00B136C1">
      <w:pPr>
        <w:jc w:val="center"/>
        <w:rPr>
          <w:lang w:val="sr"/>
        </w:rPr>
      </w:pPr>
      <w:r w:rsidRPr="009636AA">
        <w:rPr>
          <w:lang w:val="sr"/>
        </w:rPr>
        <w:t>УГОВОР О ПОКЛОНУ ЗА СЛУЧАЈ СМРТИ</w:t>
      </w:r>
    </w:p>
    <w:p w14:paraId="306C72CC" w14:textId="77777777" w:rsidR="00B136C1" w:rsidRDefault="00B136C1" w:rsidP="00B136C1">
      <w:pPr>
        <w:jc w:val="center"/>
        <w:rPr>
          <w:lang w:val="sr"/>
        </w:rPr>
      </w:pPr>
    </w:p>
    <w:p w14:paraId="4B7CC730" w14:textId="77777777" w:rsidR="00B136C1" w:rsidRPr="005B33F1" w:rsidRDefault="00B136C1" w:rsidP="00B136C1">
      <w:pPr>
        <w:jc w:val="both"/>
        <w:rPr>
          <w:rFonts w:cs="Arial"/>
          <w:sz w:val="20"/>
          <w:szCs w:val="20"/>
          <w:lang w:val="sr"/>
        </w:rPr>
      </w:pPr>
      <w:r w:rsidRPr="005B33F1">
        <w:rPr>
          <w:rFonts w:cs="Arial"/>
          <w:sz w:val="20"/>
          <w:szCs w:val="20"/>
        </w:rPr>
        <w:t>M</w:t>
      </w:r>
      <w:r>
        <w:rPr>
          <w:rFonts w:cs="Arial"/>
          <w:sz w:val="20"/>
          <w:szCs w:val="20"/>
        </w:rPr>
        <w:t>.</w:t>
      </w:r>
      <w:r w:rsidRPr="005B33F1">
        <w:rPr>
          <w:rFonts w:cs="Arial"/>
          <w:sz w:val="20"/>
          <w:szCs w:val="20"/>
        </w:rPr>
        <w:t xml:space="preserve"> </w:t>
      </w:r>
      <w:r w:rsidRPr="005B33F1">
        <w:rPr>
          <w:rFonts w:cs="Arial"/>
          <w:sz w:val="20"/>
          <w:szCs w:val="20"/>
          <w:lang w:val="sr"/>
        </w:rPr>
        <w:t xml:space="preserve">Ђурђевић, Уговор о поклону за случај смрти, Зборник радова Правног факултета у Новом Саду, 2011, бр. 1, стр. 241-243,248-251; </w:t>
      </w:r>
      <w:r w:rsidRPr="005B33F1">
        <w:rPr>
          <w:rFonts w:cs="Arial"/>
          <w:sz w:val="20"/>
          <w:szCs w:val="20"/>
          <w:lang w:val="sr-Cyrl-CS"/>
        </w:rPr>
        <w:t xml:space="preserve">С. Даковић, </w:t>
      </w:r>
      <w:r w:rsidRPr="005B33F1">
        <w:rPr>
          <w:rFonts w:cs="Arial"/>
          <w:sz w:val="20"/>
          <w:szCs w:val="20"/>
          <w:lang w:val="sr"/>
        </w:rPr>
        <w:t>Поклон за случај смрти у Нацрту ГЗРС, мастер рад, Правни факултет у Крагујевцу, 2019. стр. 19-33.</w:t>
      </w:r>
    </w:p>
    <w:p w14:paraId="0CF2566E" w14:textId="77777777" w:rsidR="00B136C1" w:rsidRPr="009636AA" w:rsidRDefault="00B136C1" w:rsidP="00B136C1">
      <w:pPr>
        <w:jc w:val="center"/>
        <w:rPr>
          <w:lang w:val="sr"/>
        </w:rPr>
      </w:pPr>
    </w:p>
    <w:p w14:paraId="47EA7335" w14:textId="77777777" w:rsidR="00B136C1" w:rsidRPr="009636AA" w:rsidRDefault="00B136C1" w:rsidP="00B136C1">
      <w:pPr>
        <w:jc w:val="center"/>
        <w:rPr>
          <w:b/>
          <w:lang w:val="sr"/>
        </w:rPr>
      </w:pPr>
    </w:p>
    <w:p w14:paraId="08528968" w14:textId="77777777" w:rsidR="00B136C1" w:rsidRPr="009636AA" w:rsidRDefault="00B136C1" w:rsidP="00B136C1">
      <w:pPr>
        <w:jc w:val="center"/>
        <w:rPr>
          <w:lang w:val="sr"/>
        </w:rPr>
      </w:pPr>
      <w:r w:rsidRPr="009636AA">
        <w:rPr>
          <w:lang w:val="sr"/>
        </w:rPr>
        <w:t xml:space="preserve">Разлике у односу </w:t>
      </w:r>
      <w:r w:rsidR="009F6E3B">
        <w:rPr>
          <w:lang w:val="sr"/>
        </w:rPr>
        <w:t>на поклон и легат</w:t>
      </w:r>
    </w:p>
    <w:p w14:paraId="616E0364" w14:textId="77777777" w:rsidR="00B136C1" w:rsidRPr="009636AA" w:rsidRDefault="00B136C1" w:rsidP="00B136C1">
      <w:pPr>
        <w:jc w:val="both"/>
        <w:rPr>
          <w:lang w:val="sr"/>
        </w:rPr>
      </w:pPr>
    </w:p>
    <w:p w14:paraId="5484FE66" w14:textId="77777777" w:rsidR="00B136C1" w:rsidRPr="009636AA" w:rsidRDefault="00B136C1" w:rsidP="00B136C1">
      <w:pPr>
        <w:jc w:val="both"/>
        <w:rPr>
          <w:lang w:val="sr"/>
        </w:rPr>
      </w:pPr>
      <w:r w:rsidRPr="009636AA">
        <w:rPr>
          <w:b/>
          <w:lang w:val="sr"/>
        </w:rPr>
        <w:t xml:space="preserve">Редован поклон </w:t>
      </w:r>
      <w:r w:rsidRPr="009636AA">
        <w:rPr>
          <w:lang w:val="sr"/>
        </w:rPr>
        <w:t xml:space="preserve">је </w:t>
      </w:r>
    </w:p>
    <w:p w14:paraId="0D207E8D" w14:textId="77777777" w:rsidR="00B136C1" w:rsidRPr="009636AA" w:rsidRDefault="00B136C1" w:rsidP="00B136C1">
      <w:pPr>
        <w:jc w:val="both"/>
        <w:rPr>
          <w:lang w:val="sr"/>
        </w:rPr>
      </w:pPr>
      <w:r w:rsidRPr="009636AA">
        <w:rPr>
          <w:lang w:val="sr"/>
        </w:rPr>
        <w:t xml:space="preserve">- двострани правни посао који настаје сагласношћу воља, </w:t>
      </w:r>
    </w:p>
    <w:p w14:paraId="32A3A57D" w14:textId="77777777" w:rsidR="00B136C1" w:rsidRPr="009636AA" w:rsidRDefault="00B136C1" w:rsidP="00B136C1">
      <w:pPr>
        <w:jc w:val="both"/>
        <w:rPr>
          <w:lang w:val="sr"/>
        </w:rPr>
      </w:pPr>
      <w:r w:rsidRPr="009636AA">
        <w:rPr>
          <w:lang w:val="sr"/>
        </w:rPr>
        <w:t>- једнострано обавезјући</w:t>
      </w:r>
    </w:p>
    <w:p w14:paraId="4B108413" w14:textId="77777777" w:rsidR="00B136C1" w:rsidRPr="009636AA" w:rsidRDefault="00B136C1" w:rsidP="00B136C1">
      <w:pPr>
        <w:jc w:val="both"/>
        <w:rPr>
          <w:lang w:val="sr"/>
        </w:rPr>
      </w:pPr>
      <w:r w:rsidRPr="009636AA">
        <w:rPr>
          <w:lang w:val="sr"/>
        </w:rPr>
        <w:t>- има дејство за живота уговорних страна</w:t>
      </w:r>
    </w:p>
    <w:p w14:paraId="53A7BAAC" w14:textId="77777777" w:rsidR="00B136C1" w:rsidRPr="009636AA" w:rsidRDefault="00B136C1" w:rsidP="00B136C1">
      <w:pPr>
        <w:jc w:val="both"/>
        <w:rPr>
          <w:lang w:val="sr"/>
        </w:rPr>
      </w:pPr>
      <w:r w:rsidRPr="009636AA">
        <w:rPr>
          <w:lang w:val="sr"/>
        </w:rPr>
        <w:t xml:space="preserve">- </w:t>
      </w:r>
      <w:r w:rsidRPr="009636AA">
        <w:rPr>
          <w:lang w:val="uz-Cyrl-UZ"/>
        </w:rPr>
        <w:t xml:space="preserve">једнострано нераскидив и неопозив, осим у случају када то закон изричито предвиђа. </w:t>
      </w:r>
    </w:p>
    <w:p w14:paraId="64B1364B" w14:textId="77777777" w:rsidR="00B136C1" w:rsidRPr="009636AA" w:rsidRDefault="00B136C1" w:rsidP="00B136C1">
      <w:pPr>
        <w:jc w:val="both"/>
        <w:rPr>
          <w:lang w:val="sr"/>
        </w:rPr>
      </w:pPr>
    </w:p>
    <w:p w14:paraId="7D7CC4F7" w14:textId="77777777" w:rsidR="00B136C1" w:rsidRPr="009636AA" w:rsidRDefault="00B136C1" w:rsidP="00B136C1">
      <w:pPr>
        <w:jc w:val="both"/>
        <w:rPr>
          <w:lang w:val="de-DE"/>
        </w:rPr>
      </w:pPr>
      <w:r w:rsidRPr="009636AA">
        <w:rPr>
          <w:b/>
          <w:lang w:val="de-DE"/>
        </w:rPr>
        <w:t>Легат</w:t>
      </w:r>
      <w:r w:rsidRPr="009636AA">
        <w:rPr>
          <w:lang w:val="de-DE"/>
        </w:rPr>
        <w:t xml:space="preserve"> је:</w:t>
      </w:r>
    </w:p>
    <w:p w14:paraId="369D433F" w14:textId="77777777" w:rsidR="00B136C1" w:rsidRPr="009636AA" w:rsidRDefault="00B136C1" w:rsidP="00B136C1">
      <w:pPr>
        <w:pStyle w:val="ListParagraph"/>
        <w:numPr>
          <w:ilvl w:val="0"/>
          <w:numId w:val="1"/>
        </w:numPr>
        <w:ind w:left="426"/>
        <w:jc w:val="both"/>
        <w:rPr>
          <w:lang w:val="de-DE"/>
        </w:rPr>
      </w:pPr>
      <w:r w:rsidRPr="009636AA">
        <w:rPr>
          <w:lang w:val="de-DE"/>
        </w:rPr>
        <w:t xml:space="preserve">једнострана, </w:t>
      </w:r>
      <w:r w:rsidRPr="009636AA">
        <w:rPr>
          <w:lang w:val="sr"/>
        </w:rPr>
        <w:t>строго лична</w:t>
      </w:r>
      <w:r w:rsidRPr="009636AA">
        <w:rPr>
          <w:lang w:val="de-DE"/>
        </w:rPr>
        <w:t xml:space="preserve"> изјава последње воље</w:t>
      </w:r>
    </w:p>
    <w:p w14:paraId="4A29AA1E" w14:textId="77777777" w:rsidR="00B136C1" w:rsidRPr="009636AA" w:rsidRDefault="00B136C1" w:rsidP="00B136C1">
      <w:pPr>
        <w:pStyle w:val="ListParagraph"/>
        <w:numPr>
          <w:ilvl w:val="0"/>
          <w:numId w:val="1"/>
        </w:numPr>
        <w:ind w:left="426"/>
        <w:jc w:val="both"/>
        <w:rPr>
          <w:lang w:val="de-DE"/>
        </w:rPr>
      </w:pPr>
      <w:r w:rsidRPr="009636AA">
        <w:rPr>
          <w:lang w:val="de-DE"/>
        </w:rPr>
        <w:t>дата у форми завештања</w:t>
      </w:r>
    </w:p>
    <w:p w14:paraId="3B701FC2" w14:textId="77777777" w:rsidR="00B136C1" w:rsidRPr="009636AA" w:rsidRDefault="00B136C1" w:rsidP="00B136C1">
      <w:pPr>
        <w:pStyle w:val="ListParagraph"/>
        <w:numPr>
          <w:ilvl w:val="0"/>
          <w:numId w:val="1"/>
        </w:numPr>
        <w:ind w:left="426"/>
        <w:jc w:val="both"/>
        <w:rPr>
          <w:lang w:val="de-DE"/>
        </w:rPr>
      </w:pPr>
      <w:r w:rsidRPr="009636AA">
        <w:rPr>
          <w:lang w:val="de-DE"/>
        </w:rPr>
        <w:t>производи дејство након смрти завештаоца</w:t>
      </w:r>
    </w:p>
    <w:p w14:paraId="577F2DAB" w14:textId="77777777" w:rsidR="00B136C1" w:rsidRPr="009636AA" w:rsidRDefault="00B136C1" w:rsidP="00B136C1">
      <w:pPr>
        <w:pStyle w:val="ListParagraph"/>
        <w:numPr>
          <w:ilvl w:val="0"/>
          <w:numId w:val="1"/>
        </w:numPr>
        <w:ind w:left="426"/>
        <w:jc w:val="both"/>
        <w:rPr>
          <w:lang w:val="de-DE"/>
        </w:rPr>
      </w:pPr>
      <w:r w:rsidRPr="009636AA">
        <w:rPr>
          <w:lang w:val="de-DE"/>
        </w:rPr>
        <w:t>пре смрти завештаоца легатар нема никакво право, само легатску наду</w:t>
      </w:r>
    </w:p>
    <w:p w14:paraId="4507CAF1" w14:textId="77777777" w:rsidR="00B136C1" w:rsidRPr="009636AA" w:rsidRDefault="00B136C1" w:rsidP="00B136C1">
      <w:pPr>
        <w:pStyle w:val="ListParagraph"/>
        <w:numPr>
          <w:ilvl w:val="0"/>
          <w:numId w:val="1"/>
        </w:numPr>
        <w:ind w:left="426"/>
        <w:jc w:val="both"/>
        <w:rPr>
          <w:lang w:val="de-DE"/>
        </w:rPr>
      </w:pPr>
      <w:r w:rsidRPr="009636AA">
        <w:rPr>
          <w:lang w:val="de-DE"/>
        </w:rPr>
        <w:t>завешталац може опозвати тестамент</w:t>
      </w:r>
    </w:p>
    <w:p w14:paraId="570166E0" w14:textId="77777777" w:rsidR="00B136C1" w:rsidRPr="009636AA" w:rsidRDefault="00B136C1" w:rsidP="00B136C1">
      <w:pPr>
        <w:pStyle w:val="ListParagraph"/>
        <w:numPr>
          <w:ilvl w:val="0"/>
          <w:numId w:val="1"/>
        </w:numPr>
        <w:ind w:left="426"/>
        <w:jc w:val="both"/>
        <w:rPr>
          <w:lang w:val="de-DE"/>
        </w:rPr>
      </w:pPr>
      <w:r w:rsidRPr="009636AA">
        <w:rPr>
          <w:lang w:val="de-DE"/>
        </w:rPr>
        <w:t>ако умре легатар пре завештаоца легат пада, јер услед тога не може да се успостави облигациони однос између легатара и дужника легата.</w:t>
      </w:r>
    </w:p>
    <w:p w14:paraId="6BD48BB8" w14:textId="77777777" w:rsidR="00B136C1" w:rsidRPr="009636AA" w:rsidRDefault="00B136C1" w:rsidP="00B136C1">
      <w:pPr>
        <w:jc w:val="both"/>
        <w:rPr>
          <w:lang w:val="de-DE"/>
        </w:rPr>
      </w:pPr>
    </w:p>
    <w:p w14:paraId="540104B5" w14:textId="77777777" w:rsidR="00B136C1" w:rsidRPr="009636AA" w:rsidRDefault="00B136C1" w:rsidP="00B136C1">
      <w:pPr>
        <w:jc w:val="both"/>
        <w:rPr>
          <w:lang w:val="de-DE"/>
        </w:rPr>
      </w:pPr>
      <w:r w:rsidRPr="009636AA">
        <w:rPr>
          <w:b/>
          <w:lang w:val="de-DE"/>
        </w:rPr>
        <w:t>Поклон за случај смрти</w:t>
      </w:r>
      <w:r w:rsidRPr="009636AA">
        <w:rPr>
          <w:lang w:val="de-DE"/>
        </w:rPr>
        <w:t xml:space="preserve"> се у класичном римском праву налазио између поклона и легата. </w:t>
      </w:r>
    </w:p>
    <w:p w14:paraId="461E7F20" w14:textId="77777777" w:rsidR="00B136C1" w:rsidRPr="009636AA" w:rsidRDefault="00B136C1" w:rsidP="00B136C1">
      <w:pPr>
        <w:pStyle w:val="ListParagraph"/>
        <w:numPr>
          <w:ilvl w:val="0"/>
          <w:numId w:val="1"/>
        </w:numPr>
        <w:ind w:left="426"/>
        <w:jc w:val="both"/>
        <w:rPr>
          <w:lang w:val="de-DE"/>
        </w:rPr>
      </w:pPr>
      <w:r w:rsidRPr="009636AA">
        <w:rPr>
          <w:lang w:val="de-DE"/>
        </w:rPr>
        <w:t>настајао је сагласношћу воља  на основу које се поклонодавац обавезује да ће располагати неком својом ствари у корист поклонопримца (што је налик поклону)</w:t>
      </w:r>
    </w:p>
    <w:p w14:paraId="1AFFD3A2" w14:textId="77777777" w:rsidR="00B136C1" w:rsidRPr="009636AA" w:rsidRDefault="00B136C1" w:rsidP="00B136C1">
      <w:pPr>
        <w:pStyle w:val="ListParagraph"/>
        <w:numPr>
          <w:ilvl w:val="0"/>
          <w:numId w:val="1"/>
        </w:numPr>
        <w:ind w:left="426"/>
        <w:jc w:val="both"/>
        <w:rPr>
          <w:lang w:val="de-DE"/>
        </w:rPr>
      </w:pPr>
      <w:r w:rsidRPr="009636AA">
        <w:rPr>
          <w:lang w:val="de-DE"/>
        </w:rPr>
        <w:t>дејство сагласности било је условљено тиме да поклонопримац надживи поклонодавца (што га приближав легату)</w:t>
      </w:r>
    </w:p>
    <w:p w14:paraId="63669BA2" w14:textId="77777777" w:rsidR="00B136C1" w:rsidRPr="009636AA" w:rsidRDefault="00B136C1" w:rsidP="00B136C1">
      <w:pPr>
        <w:pStyle w:val="ListParagraph"/>
        <w:numPr>
          <w:ilvl w:val="0"/>
          <w:numId w:val="1"/>
        </w:numPr>
        <w:ind w:left="426"/>
        <w:jc w:val="both"/>
        <w:rPr>
          <w:lang w:val="de-DE"/>
        </w:rPr>
      </w:pPr>
      <w:r w:rsidRPr="009636AA">
        <w:rPr>
          <w:lang w:val="de-DE"/>
        </w:rPr>
        <w:t>поклонодавац је увек могао опозвати поклон, осим ако се тога унапред одрекао (што га приближавa легату, с тим што код завештања одрицање од права на опозв нема правно дејство – увек га може опозвати)</w:t>
      </w:r>
    </w:p>
    <w:p w14:paraId="726D6F03" w14:textId="77777777" w:rsidR="00B136C1" w:rsidRPr="009636AA" w:rsidRDefault="00B136C1" w:rsidP="00B136C1">
      <w:pPr>
        <w:pStyle w:val="ListParagraph"/>
        <w:ind w:left="426"/>
        <w:jc w:val="both"/>
        <w:rPr>
          <w:lang w:val="de-DE"/>
        </w:rPr>
      </w:pPr>
    </w:p>
    <w:p w14:paraId="6B48CC22" w14:textId="77777777" w:rsidR="00B136C1" w:rsidRPr="009636AA" w:rsidRDefault="00B136C1" w:rsidP="00B136C1">
      <w:pPr>
        <w:pStyle w:val="ListParagraph"/>
        <w:ind w:left="426"/>
        <w:jc w:val="center"/>
        <w:rPr>
          <w:b/>
          <w:lang w:val="de-DE"/>
        </w:rPr>
      </w:pPr>
      <w:r w:rsidRPr="009636AA">
        <w:rPr>
          <w:b/>
          <w:lang w:val="de-DE"/>
        </w:rPr>
        <w:t>Српско право</w:t>
      </w:r>
    </w:p>
    <w:p w14:paraId="62CC32E7" w14:textId="77777777" w:rsidR="00B136C1" w:rsidRPr="009636AA" w:rsidRDefault="00B136C1" w:rsidP="00B136C1">
      <w:pPr>
        <w:pStyle w:val="ListParagraph"/>
        <w:ind w:left="426"/>
        <w:jc w:val="both"/>
        <w:rPr>
          <w:lang w:val="de-DE"/>
        </w:rPr>
      </w:pPr>
    </w:p>
    <w:p w14:paraId="4EC9C02D" w14:textId="77777777" w:rsidR="00B136C1" w:rsidRPr="009636AA" w:rsidRDefault="00B136C1" w:rsidP="00B136C1">
      <w:pPr>
        <w:pStyle w:val="ListParagraph"/>
        <w:ind w:left="426"/>
        <w:jc w:val="both"/>
        <w:rPr>
          <w:lang w:val="de-DE"/>
        </w:rPr>
      </w:pPr>
    </w:p>
    <w:p w14:paraId="2CDE6CA5" w14:textId="77777777" w:rsidR="00B136C1" w:rsidRPr="009636AA" w:rsidRDefault="00B136C1" w:rsidP="00B136C1">
      <w:pPr>
        <w:pStyle w:val="ListParagraph"/>
        <w:ind w:left="426"/>
        <w:jc w:val="both"/>
        <w:rPr>
          <w:b/>
          <w:lang w:val="de-DE"/>
        </w:rPr>
      </w:pPr>
      <w:r w:rsidRPr="009636AA">
        <w:rPr>
          <w:lang w:val="de-DE"/>
        </w:rPr>
        <w:t xml:space="preserve">Код нас је уговор о поклону за случај смрти </w:t>
      </w:r>
      <w:r w:rsidRPr="009636AA">
        <w:rPr>
          <w:b/>
          <w:lang w:val="de-DE"/>
        </w:rPr>
        <w:t>регулисан СГЗ</w:t>
      </w:r>
      <w:r w:rsidRPr="009636AA">
        <w:rPr>
          <w:lang w:val="de-DE"/>
        </w:rPr>
        <w:t xml:space="preserve">, чија се правна правила према Закону о неважности правних прописа .. још увек примењују на овај уговор.  </w:t>
      </w:r>
      <w:r w:rsidRPr="009636AA">
        <w:rPr>
          <w:lang w:val="sr"/>
        </w:rPr>
        <w:t>У</w:t>
      </w:r>
      <w:r w:rsidRPr="009636AA">
        <w:rPr>
          <w:lang w:val="de-DE"/>
        </w:rPr>
        <w:t xml:space="preserve">ређен је по узору на АГЗ, али нису преузете све одредбе па се зато у </w:t>
      </w:r>
      <w:r w:rsidRPr="009636AA">
        <w:rPr>
          <w:lang w:val="sr"/>
        </w:rPr>
        <w:t xml:space="preserve">старијој </w:t>
      </w:r>
      <w:r w:rsidRPr="009636AA">
        <w:rPr>
          <w:lang w:val="de-DE"/>
        </w:rPr>
        <w:t xml:space="preserve">правној теорији стало на становиште да СГЗ, говорећи о уговору о поклону за случај смрти, не мисли на уговор, него </w:t>
      </w:r>
      <w:r w:rsidRPr="009636AA">
        <w:rPr>
          <w:b/>
          <w:lang w:val="de-DE"/>
        </w:rPr>
        <w:t>на легат, као једнострану изјаву воље.</w:t>
      </w:r>
    </w:p>
    <w:p w14:paraId="6BFAB7CD" w14:textId="77777777" w:rsidR="00B136C1" w:rsidRPr="009636AA" w:rsidRDefault="00B136C1" w:rsidP="00B136C1">
      <w:pPr>
        <w:pStyle w:val="ListParagraph"/>
        <w:ind w:left="426"/>
        <w:jc w:val="both"/>
        <w:rPr>
          <w:lang w:val="de-DE"/>
        </w:rPr>
      </w:pPr>
    </w:p>
    <w:p w14:paraId="0C6A26B7" w14:textId="77777777" w:rsidR="00B136C1" w:rsidRPr="009636AA" w:rsidRDefault="00B136C1" w:rsidP="00B136C1">
      <w:pPr>
        <w:pStyle w:val="ListParagraph"/>
        <w:ind w:left="426"/>
        <w:jc w:val="both"/>
        <w:rPr>
          <w:lang w:val="de-DE"/>
        </w:rPr>
      </w:pPr>
      <w:r w:rsidRPr="009636AA">
        <w:rPr>
          <w:lang w:val="de-DE"/>
        </w:rPr>
        <w:t xml:space="preserve">Поклон за случај смрти према </w:t>
      </w:r>
      <w:r w:rsidRPr="009636AA">
        <w:rPr>
          <w:b/>
          <w:lang w:val="de-DE"/>
        </w:rPr>
        <w:t xml:space="preserve">гледишту </w:t>
      </w:r>
      <w:r w:rsidRPr="009636AA">
        <w:rPr>
          <w:b/>
          <w:lang w:val="sr"/>
        </w:rPr>
        <w:t>послератне (2. светски рат) правне</w:t>
      </w:r>
      <w:r w:rsidRPr="009636AA">
        <w:rPr>
          <w:b/>
          <w:lang w:val="de-DE"/>
        </w:rPr>
        <w:t xml:space="preserve"> теорије</w:t>
      </w:r>
      <w:r w:rsidRPr="009636AA">
        <w:rPr>
          <w:lang w:val="de-DE"/>
        </w:rPr>
        <w:t>:</w:t>
      </w:r>
    </w:p>
    <w:p w14:paraId="5F5BFC0B" w14:textId="77777777" w:rsidR="00B136C1" w:rsidRPr="002907EF" w:rsidRDefault="00B136C1" w:rsidP="00B136C1">
      <w:pPr>
        <w:pStyle w:val="ListParagraph"/>
        <w:ind w:left="426"/>
        <w:jc w:val="both"/>
        <w:rPr>
          <w:rFonts w:cs="Times New Roman"/>
          <w:lang w:val="uz-Cyrl-UZ"/>
        </w:rPr>
      </w:pPr>
      <w:r w:rsidRPr="009636AA">
        <w:rPr>
          <w:rFonts w:cs="Times New Roman"/>
          <w:lang w:val="uz-Cyrl-UZ"/>
        </w:rPr>
        <w:t xml:space="preserve">- да се ради о </w:t>
      </w:r>
      <w:r w:rsidRPr="00533034">
        <w:rPr>
          <w:rFonts w:cs="Times New Roman"/>
          <w:b/>
          <w:i/>
          <w:lang w:val="uz-Cyrl-UZ"/>
        </w:rPr>
        <w:t>варијацији уговора о поклону</w:t>
      </w:r>
      <w:r w:rsidRPr="009636AA">
        <w:rPr>
          <w:rFonts w:cs="Times New Roman"/>
          <w:lang w:val="uz-Cyrl-UZ"/>
        </w:rPr>
        <w:t>, да је то двострани правни посао међу живима, који настаје сагласношћу двају воља, поклонодавца и поклонопримца. Поред предмета уговора, битан елемент овог правног посла је и намера даривања. Овај уговор се закључује под</w:t>
      </w:r>
      <w:r>
        <w:rPr>
          <w:rFonts w:cs="Times New Roman"/>
          <w:lang w:val="uz-Cyrl-UZ"/>
        </w:rPr>
        <w:t xml:space="preserve"> суспензивним (одложним) роком</w:t>
      </w:r>
      <w:r w:rsidRPr="009636AA">
        <w:rPr>
          <w:rFonts w:cs="Times New Roman"/>
          <w:lang w:val="uz-Cyrl-UZ"/>
        </w:rPr>
        <w:t>, што значи да производи правно дејство после смрти поклонодавца, односно поклонопримац може захтевати предају предмет уговора у својину тек након смрти поклонодавца. За разлику од римског концепта, није потребно да поклонопримац надживи поклонодавца, тако да уколико поклонодавац надживи поклонопримца, његови наследници имају право да захтевају да им се преда предмет поклон у својину.</w:t>
      </w:r>
    </w:p>
    <w:p w14:paraId="66E1095C" w14:textId="77777777" w:rsidR="00B136C1" w:rsidRPr="009636AA" w:rsidRDefault="00B136C1" w:rsidP="00B136C1">
      <w:pPr>
        <w:pStyle w:val="ListParagraph"/>
        <w:numPr>
          <w:ilvl w:val="0"/>
          <w:numId w:val="1"/>
        </w:numPr>
        <w:ind w:left="426"/>
        <w:jc w:val="both"/>
        <w:rPr>
          <w:lang w:val="de-DE"/>
        </w:rPr>
      </w:pPr>
      <w:r>
        <w:rPr>
          <w:lang w:val="de-DE"/>
        </w:rPr>
        <w:t xml:space="preserve"> за </w:t>
      </w:r>
      <w:r>
        <w:rPr>
          <w:lang w:val="sr"/>
        </w:rPr>
        <w:t>његову</w:t>
      </w:r>
      <w:r w:rsidRPr="009636AA">
        <w:rPr>
          <w:lang w:val="de-DE"/>
        </w:rPr>
        <w:t xml:space="preserve"> пуноважност се</w:t>
      </w:r>
      <w:r>
        <w:rPr>
          <w:lang w:val="de-DE"/>
        </w:rPr>
        <w:t xml:space="preserve"> тражи испуњеност</w:t>
      </w:r>
      <w:r w:rsidRPr="009636AA">
        <w:rPr>
          <w:lang w:val="de-DE"/>
        </w:rPr>
        <w:t xml:space="preserve"> свих материјалноправних услова и да буде дат у </w:t>
      </w:r>
      <w:r w:rsidRPr="009636AA">
        <w:rPr>
          <w:lang w:val="sr"/>
        </w:rPr>
        <w:t>облику</w:t>
      </w:r>
      <w:r w:rsidRPr="009636AA">
        <w:rPr>
          <w:lang w:val="de-DE"/>
        </w:rPr>
        <w:t xml:space="preserve"> </w:t>
      </w:r>
      <w:r w:rsidRPr="009636AA">
        <w:rPr>
          <w:b/>
          <w:lang w:val="de-DE"/>
        </w:rPr>
        <w:t>јавне исправе</w:t>
      </w:r>
      <w:r w:rsidRPr="009636AA">
        <w:rPr>
          <w:lang w:val="de-DE"/>
        </w:rPr>
        <w:t>.</w:t>
      </w:r>
    </w:p>
    <w:p w14:paraId="623106AE" w14:textId="77777777" w:rsidR="00B136C1" w:rsidRPr="009636AA" w:rsidRDefault="00B136C1" w:rsidP="00B136C1">
      <w:pPr>
        <w:pStyle w:val="ListParagraph"/>
        <w:numPr>
          <w:ilvl w:val="0"/>
          <w:numId w:val="1"/>
        </w:numPr>
        <w:ind w:left="426"/>
        <w:jc w:val="both"/>
        <w:rPr>
          <w:lang w:val="de-DE"/>
        </w:rPr>
      </w:pPr>
      <w:r w:rsidRPr="009636AA">
        <w:rPr>
          <w:lang w:val="sr"/>
        </w:rPr>
        <w:t>једнострано обавезујући уговор</w:t>
      </w:r>
    </w:p>
    <w:p w14:paraId="0DDA2F82" w14:textId="77777777" w:rsidR="00B136C1" w:rsidRPr="009636AA" w:rsidRDefault="00B136C1" w:rsidP="00B136C1">
      <w:pPr>
        <w:pStyle w:val="ListParagraph"/>
        <w:numPr>
          <w:ilvl w:val="0"/>
          <w:numId w:val="1"/>
        </w:numPr>
        <w:ind w:left="426"/>
        <w:jc w:val="both"/>
        <w:rPr>
          <w:lang w:val="de-DE"/>
        </w:rPr>
      </w:pPr>
      <w:r w:rsidRPr="009636AA">
        <w:rPr>
          <w:lang w:val="de-DE"/>
        </w:rPr>
        <w:t xml:space="preserve">посао који </w:t>
      </w:r>
      <w:r w:rsidRPr="009636AA">
        <w:rPr>
          <w:lang w:val="sr"/>
        </w:rPr>
        <w:t xml:space="preserve">има дејство за живота уговорних страна, с тим што је уговорена </w:t>
      </w:r>
      <w:r w:rsidRPr="009636AA">
        <w:rPr>
          <w:b/>
          <w:i/>
          <w:lang w:val="sr"/>
        </w:rPr>
        <w:t>посебна погодба</w:t>
      </w:r>
      <w:r w:rsidRPr="009636AA">
        <w:rPr>
          <w:lang w:val="sr"/>
        </w:rPr>
        <w:t xml:space="preserve"> да ствар поклонопримцу буде предата након смрти поклонодавца, па има </w:t>
      </w:r>
      <w:r w:rsidRPr="009636AA">
        <w:rPr>
          <w:b/>
          <w:lang w:val="sr"/>
        </w:rPr>
        <w:t>карактер одложног рока, неодређеног трајања,</w:t>
      </w:r>
      <w:r w:rsidRPr="009636AA">
        <w:rPr>
          <w:lang w:val="sr"/>
        </w:rPr>
        <w:t xml:space="preserve"> који истиче у часу смрти поклонодавца</w:t>
      </w:r>
    </w:p>
    <w:p w14:paraId="065D5018" w14:textId="77777777" w:rsidR="00B136C1" w:rsidRPr="009636AA" w:rsidRDefault="00B136C1" w:rsidP="00B136C1">
      <w:pPr>
        <w:pStyle w:val="ListParagraph"/>
        <w:numPr>
          <w:ilvl w:val="0"/>
          <w:numId w:val="1"/>
        </w:numPr>
        <w:ind w:left="426"/>
        <w:jc w:val="both"/>
        <w:rPr>
          <w:lang w:val="de-DE"/>
        </w:rPr>
      </w:pPr>
      <w:r w:rsidRPr="009636AA">
        <w:rPr>
          <w:lang w:val="sr"/>
        </w:rPr>
        <w:t xml:space="preserve">након смрти поклонодавца, поклонопримац има положај оставиочевог повериоца, (он дакле није наследник, ни легатар) </w:t>
      </w:r>
    </w:p>
    <w:p w14:paraId="44D64F3B" w14:textId="77777777" w:rsidR="00B136C1" w:rsidRPr="009636AA" w:rsidRDefault="00B136C1" w:rsidP="00B136C1">
      <w:pPr>
        <w:pStyle w:val="ListParagraph"/>
        <w:numPr>
          <w:ilvl w:val="0"/>
          <w:numId w:val="1"/>
        </w:numPr>
        <w:ind w:left="426"/>
        <w:jc w:val="both"/>
        <w:rPr>
          <w:lang w:val="de-DE"/>
        </w:rPr>
      </w:pPr>
      <w:r w:rsidRPr="009636AA">
        <w:rPr>
          <w:lang w:val="sr"/>
        </w:rPr>
        <w:t>поклонопримац не мора да надживи поклонодавца (за разлику од римског права)</w:t>
      </w:r>
    </w:p>
    <w:p w14:paraId="6CAA7235" w14:textId="77777777" w:rsidR="00B136C1" w:rsidRPr="009636AA" w:rsidRDefault="00B136C1" w:rsidP="00B136C1">
      <w:pPr>
        <w:pStyle w:val="ListParagraph"/>
        <w:numPr>
          <w:ilvl w:val="0"/>
          <w:numId w:val="1"/>
        </w:numPr>
        <w:ind w:left="426"/>
        <w:jc w:val="both"/>
        <w:rPr>
          <w:lang w:val="de-DE"/>
        </w:rPr>
      </w:pPr>
      <w:r w:rsidRPr="009636AA">
        <w:rPr>
          <w:lang w:val="sr"/>
        </w:rPr>
        <w:t>ако поклонопримац умре пре поклонодавца, његово потраживање прелази на његове наследнике</w:t>
      </w:r>
    </w:p>
    <w:p w14:paraId="61EC4B0C" w14:textId="77777777" w:rsidR="00B136C1" w:rsidRPr="009636AA" w:rsidRDefault="00B136C1" w:rsidP="00B136C1">
      <w:pPr>
        <w:pStyle w:val="ListParagraph"/>
        <w:numPr>
          <w:ilvl w:val="0"/>
          <w:numId w:val="1"/>
        </w:numPr>
        <w:ind w:left="426"/>
        <w:jc w:val="both"/>
        <w:rPr>
          <w:lang w:val="de-DE"/>
        </w:rPr>
      </w:pPr>
      <w:r w:rsidRPr="009636AA">
        <w:rPr>
          <w:lang w:val="sr"/>
        </w:rPr>
        <w:t xml:space="preserve">поклон је </w:t>
      </w:r>
      <w:r w:rsidRPr="009636AA">
        <w:rPr>
          <w:b/>
          <w:lang w:val="sr"/>
        </w:rPr>
        <w:t>неопозив,</w:t>
      </w:r>
      <w:r w:rsidRPr="009636AA">
        <w:rPr>
          <w:lang w:val="sr"/>
        </w:rPr>
        <w:t xml:space="preserve"> осим у законом предвиђеним случајевима за опозив од стране поклонодавца (за разлику од римског права)</w:t>
      </w:r>
    </w:p>
    <w:p w14:paraId="4107E580" w14:textId="77777777" w:rsidR="00B136C1" w:rsidRPr="009636AA" w:rsidRDefault="00B136C1" w:rsidP="00B136C1">
      <w:pPr>
        <w:pStyle w:val="ListParagraph"/>
        <w:ind w:left="426"/>
        <w:jc w:val="both"/>
        <w:rPr>
          <w:lang w:val="de-DE"/>
        </w:rPr>
      </w:pPr>
    </w:p>
    <w:p w14:paraId="66FC26AE" w14:textId="77777777" w:rsidR="00B136C1" w:rsidRPr="009636AA" w:rsidRDefault="00B136C1" w:rsidP="00B136C1">
      <w:pPr>
        <w:ind w:left="66"/>
        <w:jc w:val="both"/>
        <w:rPr>
          <w:lang w:val="de-DE"/>
        </w:rPr>
      </w:pPr>
      <w:r w:rsidRPr="009636AA">
        <w:rPr>
          <w:lang w:val="de-DE"/>
        </w:rPr>
        <w:t xml:space="preserve">Дакле, од редовног поклона се разликује само по томе што је </w:t>
      </w:r>
      <w:r w:rsidRPr="00533034">
        <w:rPr>
          <w:u w:val="single"/>
          <w:lang w:val="de-DE"/>
        </w:rPr>
        <w:t>извршење обавезе поклонодавца на предају ствари и пренос права својине одложено после његове смрти.</w:t>
      </w:r>
    </w:p>
    <w:p w14:paraId="7264D07A" w14:textId="77777777" w:rsidR="00B136C1" w:rsidRPr="009636AA" w:rsidRDefault="00B136C1" w:rsidP="00B136C1">
      <w:pPr>
        <w:ind w:left="66"/>
        <w:jc w:val="both"/>
        <w:rPr>
          <w:lang w:val="de-DE"/>
        </w:rPr>
      </w:pPr>
    </w:p>
    <w:p w14:paraId="209ECE69" w14:textId="77777777" w:rsidR="00B136C1" w:rsidRDefault="00B136C1" w:rsidP="00B136C1">
      <w:pPr>
        <w:ind w:left="66"/>
        <w:jc w:val="both"/>
        <w:rPr>
          <w:rFonts w:cs="Times New Roman"/>
          <w:b/>
          <w:lang w:val="uz-Cyrl-UZ"/>
        </w:rPr>
      </w:pPr>
      <w:r w:rsidRPr="009636AA">
        <w:rPr>
          <w:rFonts w:cs="Times New Roman"/>
          <w:lang w:val="uz-Cyrl-UZ"/>
        </w:rPr>
        <w:t xml:space="preserve">Супротно ондашњем већинском схватању, професор Михаило Константиновић је у својој </w:t>
      </w:r>
      <w:r w:rsidRPr="009636AA">
        <w:rPr>
          <w:rFonts w:cs="Times New Roman"/>
          <w:lang w:val="de-DE"/>
        </w:rPr>
        <w:t>„</w:t>
      </w:r>
      <w:r w:rsidRPr="009636AA">
        <w:rPr>
          <w:rFonts w:cs="Times New Roman"/>
          <w:lang w:val="uz-Cyrl-UZ"/>
        </w:rPr>
        <w:t>Скици за законик о облигацијама и уговорима” уредио и поклон за случај смрти међу одредбама у одељку који се тиче поклона (дара), предвидевши у ставу 1.: „уговор о дару у коме је углављено да ће ствар бити предата обдаренику после смрти дариваоца, мора бити састављен у форми јавне исправе“. У ставу 2.:  „да даривалац може раскинути уговор по својој вољи, а располагање стварима које су предмет таквог уговора било правним послом међу живима, било правним послом за случај смрти, сматра се раскидањем уговора у погледу ствари обухваћених располагањем“.</w:t>
      </w:r>
      <w:bookmarkStart w:id="0" w:name="_GoBack"/>
      <w:bookmarkEnd w:id="0"/>
      <w:r w:rsidRPr="009636AA">
        <w:rPr>
          <w:rFonts w:cs="Times New Roman"/>
          <w:lang w:val="uz-Cyrl-UZ"/>
        </w:rPr>
        <w:t xml:space="preserve">Оваквим предлогом професор је увидео специфичност поклона за случај смрти, односно да у складу са својим историјским пореклом садржи у себи </w:t>
      </w:r>
      <w:r w:rsidRPr="009636AA">
        <w:rPr>
          <w:rFonts w:cs="Times New Roman"/>
          <w:b/>
          <w:lang w:val="uz-Cyrl-UZ"/>
        </w:rPr>
        <w:t>компоненте које га вуку у правцу правне природе легата</w:t>
      </w:r>
      <w:r w:rsidRPr="009636AA">
        <w:rPr>
          <w:rFonts w:cs="Times New Roman"/>
          <w:lang w:val="uz-Cyrl-UZ"/>
        </w:rPr>
        <w:t xml:space="preserve"> и дозвољ</w:t>
      </w:r>
      <w:r w:rsidRPr="009636AA">
        <w:rPr>
          <w:rFonts w:cs="Times New Roman"/>
          <w:lang w:val="de-DE"/>
        </w:rPr>
        <w:t>a</w:t>
      </w:r>
      <w:r w:rsidRPr="009636AA">
        <w:rPr>
          <w:rFonts w:cs="Times New Roman"/>
          <w:lang w:val="uz-Cyrl-UZ"/>
        </w:rPr>
        <w:t xml:space="preserve">вају да се </w:t>
      </w:r>
      <w:r w:rsidRPr="009636AA">
        <w:rPr>
          <w:rFonts w:cs="Times New Roman"/>
          <w:b/>
          <w:lang w:val="uz-Cyrl-UZ"/>
        </w:rPr>
        <w:t>једностраном изјавом вољ</w:t>
      </w:r>
      <w:r w:rsidRPr="009636AA">
        <w:rPr>
          <w:rFonts w:cs="Times New Roman"/>
          <w:b/>
        </w:rPr>
        <w:t>e</w:t>
      </w:r>
      <w:r w:rsidRPr="009636AA">
        <w:rPr>
          <w:rFonts w:cs="Times New Roman"/>
          <w:b/>
          <w:lang w:val="uz-Cyrl-UZ"/>
        </w:rPr>
        <w:t xml:space="preserve"> поклонодавца уговор раскине.</w:t>
      </w:r>
    </w:p>
    <w:p w14:paraId="07614FD0" w14:textId="77777777" w:rsidR="00B136C1" w:rsidRPr="009636AA" w:rsidRDefault="00B136C1" w:rsidP="00B136C1">
      <w:pPr>
        <w:ind w:left="66"/>
        <w:jc w:val="both"/>
        <w:rPr>
          <w:b/>
          <w:lang w:val="de-DE"/>
        </w:rPr>
      </w:pPr>
    </w:p>
    <w:p w14:paraId="3B3FA4D9" w14:textId="77777777" w:rsidR="00B136C1" w:rsidRPr="009636AA" w:rsidRDefault="00B136C1" w:rsidP="00B136C1">
      <w:pPr>
        <w:ind w:left="66"/>
        <w:jc w:val="both"/>
        <w:rPr>
          <w:lang w:val="de-DE"/>
        </w:rPr>
      </w:pPr>
    </w:p>
    <w:p w14:paraId="13A3DAD9" w14:textId="77777777" w:rsidR="00B136C1" w:rsidRPr="009636AA" w:rsidRDefault="00B136C1" w:rsidP="00B136C1">
      <w:pPr>
        <w:ind w:left="66"/>
        <w:jc w:val="center"/>
        <w:rPr>
          <w:b/>
          <w:i/>
          <w:lang w:val="sr"/>
        </w:rPr>
      </w:pPr>
      <w:r w:rsidRPr="009636AA">
        <w:rPr>
          <w:b/>
          <w:i/>
          <w:lang w:val="sr"/>
        </w:rPr>
        <w:t>НАЦРТ ГЗРС</w:t>
      </w:r>
    </w:p>
    <w:p w14:paraId="100F6B49" w14:textId="77777777" w:rsidR="00B136C1" w:rsidRPr="009636AA" w:rsidRDefault="00B136C1" w:rsidP="00B136C1">
      <w:pPr>
        <w:ind w:left="66"/>
        <w:jc w:val="both"/>
        <w:rPr>
          <w:lang w:val="de-DE"/>
        </w:rPr>
      </w:pPr>
    </w:p>
    <w:p w14:paraId="3A9388B1" w14:textId="77777777" w:rsidR="00B136C1" w:rsidRPr="009636AA" w:rsidRDefault="00B136C1" w:rsidP="00B136C1">
      <w:pPr>
        <w:spacing w:before="100" w:beforeAutospacing="1" w:after="100" w:afterAutospacing="1"/>
        <w:jc w:val="center"/>
        <w:rPr>
          <w:rFonts w:cs="Times New Roman"/>
          <w:sz w:val="20"/>
          <w:szCs w:val="20"/>
        </w:rPr>
      </w:pPr>
      <w:r w:rsidRPr="009636AA">
        <w:rPr>
          <w:rFonts w:cs="Times New Roman"/>
        </w:rPr>
        <w:t>Одељак 5.</w:t>
      </w:r>
    </w:p>
    <w:p w14:paraId="48EFB87B" w14:textId="77777777" w:rsidR="00B136C1" w:rsidRPr="009636AA" w:rsidRDefault="00B136C1" w:rsidP="00B136C1">
      <w:pPr>
        <w:spacing w:before="100" w:beforeAutospacing="1" w:after="100" w:afterAutospacing="1"/>
        <w:jc w:val="center"/>
        <w:rPr>
          <w:rFonts w:cs="Times New Roman"/>
          <w:sz w:val="20"/>
          <w:szCs w:val="20"/>
          <w:lang w:val="de-DE"/>
        </w:rPr>
      </w:pPr>
      <w:r w:rsidRPr="009636AA">
        <w:rPr>
          <w:rFonts w:cs="Times New Roman"/>
          <w:b/>
          <w:bCs/>
        </w:rPr>
        <w:t>ПОКЛОН ЗА СЛУЧАJ СМРТИ</w:t>
      </w:r>
    </w:p>
    <w:p w14:paraId="2F8519C8" w14:textId="77777777" w:rsidR="00B136C1" w:rsidRDefault="00B136C1" w:rsidP="00B136C1">
      <w:pPr>
        <w:spacing w:before="100" w:beforeAutospacing="1" w:after="100" w:afterAutospacing="1"/>
        <w:jc w:val="center"/>
        <w:rPr>
          <w:rFonts w:cs="Times New Roman"/>
        </w:rPr>
      </w:pPr>
      <w:r w:rsidRPr="009636AA">
        <w:rPr>
          <w:rFonts w:cs="Times New Roman"/>
        </w:rPr>
        <w:t>Члан 818</w:t>
      </w:r>
    </w:p>
    <w:p w14:paraId="203AD1FE" w14:textId="77777777" w:rsidR="00B136C1" w:rsidRPr="009636AA" w:rsidRDefault="00B136C1" w:rsidP="00B136C1">
      <w:pPr>
        <w:spacing w:before="100" w:beforeAutospacing="1" w:after="100" w:afterAutospacing="1"/>
        <w:jc w:val="center"/>
        <w:rPr>
          <w:rFonts w:cs="Times New Roman"/>
          <w:sz w:val="20"/>
          <w:szCs w:val="20"/>
        </w:rPr>
      </w:pPr>
      <w:r w:rsidRPr="009636AA">
        <w:rPr>
          <w:rFonts w:cs="Times New Roman"/>
        </w:rPr>
        <w:br/>
        <w:t xml:space="preserve">Уговор о поклону у коме jе предвиђено да ће се извршити после смрти поклонодавца, мора да буде састављен у </w:t>
      </w:r>
      <w:r w:rsidRPr="009636AA">
        <w:rPr>
          <w:rFonts w:cs="Times New Roman"/>
          <w:b/>
        </w:rPr>
        <w:t>писменоj форми уз оверу потписа од стране надлежног органа.</w:t>
      </w:r>
    </w:p>
    <w:p w14:paraId="0B96C9EE" w14:textId="77777777" w:rsidR="00B136C1" w:rsidRPr="009636AA" w:rsidRDefault="00B136C1" w:rsidP="00B136C1">
      <w:pPr>
        <w:spacing w:before="100" w:beforeAutospacing="1" w:after="100" w:afterAutospacing="1"/>
        <w:jc w:val="center"/>
        <w:rPr>
          <w:rFonts w:cs="Times New Roman"/>
          <w:sz w:val="20"/>
          <w:szCs w:val="20"/>
        </w:rPr>
      </w:pPr>
      <w:r w:rsidRPr="009636AA">
        <w:rPr>
          <w:rFonts w:cs="Times New Roman"/>
        </w:rPr>
        <w:t xml:space="preserve">Поклонодавац може да раскине по своjоj вољи уговор </w:t>
      </w:r>
      <w:r w:rsidRPr="009636AA">
        <w:rPr>
          <w:rFonts w:cs="Times New Roman"/>
          <w:sz w:val="18"/>
          <w:szCs w:val="18"/>
        </w:rPr>
        <w:t xml:space="preserve">О </w:t>
      </w:r>
      <w:r w:rsidRPr="009636AA">
        <w:rPr>
          <w:rFonts w:cs="Times New Roman"/>
        </w:rPr>
        <w:t xml:space="preserve">поклону </w:t>
      </w:r>
      <w:r w:rsidRPr="00C8058B">
        <w:rPr>
          <w:rFonts w:cs="Times New Roman"/>
          <w:b/>
        </w:rPr>
        <w:t>за</w:t>
      </w:r>
      <w:r w:rsidRPr="009636AA">
        <w:rPr>
          <w:rFonts w:cs="Times New Roman"/>
        </w:rPr>
        <w:t xml:space="preserve"> </w:t>
      </w:r>
      <w:r w:rsidRPr="009636AA">
        <w:rPr>
          <w:rFonts w:cs="Times New Roman"/>
          <w:b/>
        </w:rPr>
        <w:t>случаj смрти поклонопримца,</w:t>
      </w:r>
      <w:r w:rsidRPr="009636AA">
        <w:rPr>
          <w:rFonts w:cs="Times New Roman"/>
        </w:rPr>
        <w:t xml:space="preserve"> а располагање предметом таквог уговора, било правним послом међу живима, било правним послом за случаj смрти, сматра се раскидањем уговора у погледу поклоњених предмета обухваћених располагањем.</w:t>
      </w:r>
    </w:p>
    <w:p w14:paraId="32CD5BF8" w14:textId="77777777" w:rsidR="00B136C1" w:rsidRDefault="00B136C1" w:rsidP="00B136C1">
      <w:pPr>
        <w:spacing w:before="100" w:beforeAutospacing="1" w:after="100" w:afterAutospacing="1"/>
        <w:jc w:val="center"/>
        <w:rPr>
          <w:rFonts w:cs="Times New Roman"/>
        </w:rPr>
      </w:pPr>
      <w:r w:rsidRPr="009636AA">
        <w:rPr>
          <w:rFonts w:cs="Times New Roman"/>
          <w:b/>
          <w:bCs/>
          <w:i/>
          <w:iCs/>
        </w:rPr>
        <w:t xml:space="preserve">Алтернатива: </w:t>
      </w:r>
      <w:r w:rsidRPr="009636AA">
        <w:rPr>
          <w:rFonts w:cs="Times New Roman"/>
        </w:rPr>
        <w:t>Став 2 мења се тако да гласи:</w:t>
      </w:r>
      <w:r w:rsidRPr="009636AA">
        <w:rPr>
          <w:rFonts w:cs="Times New Roman"/>
        </w:rPr>
        <w:br/>
        <w:t>Поклонодавац може да опозове по своjоj вољи уговор о поклону за случаj смрти поклонопримца у писменоj форми и ако ту изjаву достави наследницима поклонопримца.</w:t>
      </w:r>
    </w:p>
    <w:p w14:paraId="0B4E0EE4" w14:textId="77777777" w:rsidR="00B136C1" w:rsidRPr="009636AA" w:rsidRDefault="00B136C1" w:rsidP="00B136C1">
      <w:pPr>
        <w:spacing w:before="100" w:beforeAutospacing="1" w:after="100" w:afterAutospacing="1"/>
        <w:jc w:val="center"/>
        <w:rPr>
          <w:rFonts w:cs="Times New Roman"/>
          <w:sz w:val="20"/>
          <w:szCs w:val="20"/>
        </w:rPr>
      </w:pPr>
    </w:p>
    <w:p w14:paraId="4C9DF37B" w14:textId="77777777" w:rsidR="00B136C1" w:rsidRPr="009636AA" w:rsidRDefault="00B136C1" w:rsidP="00B136C1">
      <w:pPr>
        <w:ind w:left="66"/>
        <w:jc w:val="both"/>
        <w:rPr>
          <w:rFonts w:cs="Times New Roman"/>
          <w:lang w:val="sr"/>
        </w:rPr>
      </w:pPr>
      <w:r w:rsidRPr="009636AA">
        <w:rPr>
          <w:rFonts w:cs="Times New Roman"/>
          <w:lang w:val="sr"/>
        </w:rPr>
        <w:t xml:space="preserve">Оваквом формулацијом Комисија за израду ГЗРС недвосмислено је одредила да уговор о поклону за случај смрти </w:t>
      </w:r>
      <w:r w:rsidRPr="009636AA">
        <w:rPr>
          <w:rFonts w:cs="Times New Roman"/>
          <w:b/>
          <w:lang w:val="sr"/>
        </w:rPr>
        <w:t>није једнострано раскидив правни посао све док је поклонопримац у животу.</w:t>
      </w:r>
      <w:r w:rsidRPr="009636AA">
        <w:rPr>
          <w:rFonts w:cs="Times New Roman"/>
          <w:lang w:val="sr"/>
        </w:rPr>
        <w:t xml:space="preserve"> Ситуација се мења у случају кад поклонодавац надживи поклонопримца, па нераскидивост не важи у односу на поклон</w:t>
      </w:r>
      <w:r w:rsidRPr="009636AA">
        <w:rPr>
          <w:rFonts w:cs="Times New Roman"/>
          <w:lang w:val="uz-Cyrl-UZ"/>
        </w:rPr>
        <w:t>о</w:t>
      </w:r>
      <w:r w:rsidRPr="009636AA">
        <w:rPr>
          <w:rFonts w:cs="Times New Roman"/>
          <w:lang w:val="sr"/>
        </w:rPr>
        <w:t xml:space="preserve">примчеве наследнике, већ поклонодавац добија правну моћ да својом вољом одреди даљу судбину поклона. </w:t>
      </w:r>
    </w:p>
    <w:p w14:paraId="6292876E" w14:textId="77777777" w:rsidR="00B136C1" w:rsidRPr="009636AA" w:rsidRDefault="00B136C1" w:rsidP="00B136C1">
      <w:pPr>
        <w:ind w:left="66"/>
        <w:jc w:val="both"/>
        <w:rPr>
          <w:rFonts w:cs="Times New Roman"/>
          <w:lang w:val="sr"/>
        </w:rPr>
      </w:pPr>
    </w:p>
    <w:p w14:paraId="2A626752" w14:textId="77777777" w:rsidR="00B136C1" w:rsidRPr="009636AA" w:rsidRDefault="00B136C1" w:rsidP="00B136C1">
      <w:pPr>
        <w:jc w:val="both"/>
        <w:rPr>
          <w:rFonts w:cs="Times New Roman"/>
          <w:lang w:val="sr"/>
        </w:rPr>
      </w:pPr>
      <w:r w:rsidRPr="009636AA">
        <w:rPr>
          <w:rFonts w:cs="Times New Roman"/>
          <w:lang w:val="sr"/>
        </w:rPr>
        <w:t>Ако буде прихваћен први предложени начин раскидања уговора, поклонодавац ће у односу на поклонопримчеве правне следбенике бити овлашћен да раскине уговор по својој вољи, изричитом изјавом воље, или било којим правним послом за живота или смрти ра</w:t>
      </w:r>
      <w:r w:rsidRPr="009636AA">
        <w:rPr>
          <w:rFonts w:cs="Times New Roman"/>
          <w:lang w:val="uz-Cyrl-UZ"/>
        </w:rPr>
        <w:t>с</w:t>
      </w:r>
      <w:r w:rsidRPr="009636AA">
        <w:rPr>
          <w:rFonts w:cs="Times New Roman"/>
          <w:lang w:val="sr"/>
        </w:rPr>
        <w:t xml:space="preserve">полагањем предметом уговора, при чему </w:t>
      </w:r>
      <w:r w:rsidRPr="009636AA">
        <w:rPr>
          <w:rFonts w:cs="Times New Roman"/>
          <w:b/>
          <w:lang w:val="sr"/>
        </w:rPr>
        <w:t>није дужан да испоштује било какву формалност везано за сам чин раскида</w:t>
      </w:r>
      <w:r w:rsidRPr="009636AA">
        <w:rPr>
          <w:rFonts w:cs="Times New Roman"/>
          <w:lang w:val="sr"/>
        </w:rPr>
        <w:t>, нити да формално или неформално обавести поклонопримчеве следбенике о раскиду уговора. Док, уколико буде прихваћен други начин раскидања уговора о пок</w:t>
      </w:r>
      <w:r>
        <w:rPr>
          <w:rFonts w:cs="Times New Roman"/>
          <w:lang w:val="sr"/>
        </w:rPr>
        <w:t>л</w:t>
      </w:r>
      <w:r w:rsidRPr="009636AA">
        <w:rPr>
          <w:rFonts w:cs="Times New Roman"/>
          <w:lang w:val="sr"/>
        </w:rPr>
        <w:t>ону за случај смрти, поклонодавац ће имати обавезу да путем писане изјаве воље уз достављање наследницима поклон</w:t>
      </w:r>
      <w:r w:rsidRPr="009636AA">
        <w:rPr>
          <w:rFonts w:cs="Times New Roman"/>
          <w:lang w:val="uz-Cyrl-UZ"/>
        </w:rPr>
        <w:t>о</w:t>
      </w:r>
      <w:r w:rsidRPr="009636AA">
        <w:rPr>
          <w:rFonts w:cs="Times New Roman"/>
          <w:lang w:val="sr"/>
        </w:rPr>
        <w:t xml:space="preserve">примца, обавести исте да раскида закључени уговор између њега и њиховог правног претходника, чиме престаје дејство уговора у односу на њих. </w:t>
      </w:r>
    </w:p>
    <w:p w14:paraId="1C227EE5" w14:textId="77777777" w:rsidR="00B136C1" w:rsidRPr="009636AA" w:rsidRDefault="00B136C1" w:rsidP="00B136C1">
      <w:pPr>
        <w:jc w:val="both"/>
        <w:rPr>
          <w:rFonts w:cs="Times New Roman"/>
          <w:lang w:val="sr"/>
        </w:rPr>
      </w:pPr>
    </w:p>
    <w:p w14:paraId="726AE351" w14:textId="77777777" w:rsidR="00B136C1" w:rsidRPr="009636AA" w:rsidRDefault="00B136C1" w:rsidP="00B136C1">
      <w:pPr>
        <w:ind w:left="66"/>
        <w:jc w:val="both"/>
        <w:rPr>
          <w:rFonts w:cs="Times New Roman"/>
          <w:lang w:val="sr"/>
        </w:rPr>
      </w:pPr>
      <w:r>
        <w:rPr>
          <w:rFonts w:cs="Times New Roman"/>
          <w:lang w:val="sr"/>
        </w:rPr>
        <w:lastRenderedPageBreak/>
        <w:t>Тумачењем одредби Нацрта ГЗРС се може</w:t>
      </w:r>
      <w:r w:rsidRPr="009636AA">
        <w:rPr>
          <w:rFonts w:cs="Times New Roman"/>
          <w:lang w:val="sr"/>
        </w:rPr>
        <w:t xml:space="preserve"> рећи да је поклон за случај смрти двострани доброчини правни посао, који се закључује између поклонодавца и поклонопримца под </w:t>
      </w:r>
      <w:r w:rsidRPr="009636AA">
        <w:rPr>
          <w:rFonts w:cs="Times New Roman"/>
          <w:b/>
          <w:lang w:val="sr"/>
        </w:rPr>
        <w:t>одложним условом,</w:t>
      </w:r>
      <w:r w:rsidRPr="009636AA">
        <w:rPr>
          <w:rFonts w:cs="Times New Roman"/>
          <w:lang w:val="sr"/>
        </w:rPr>
        <w:t xml:space="preserve"> који ће произвести пуно правно дејство кад се испуни услов да поклонопримац надживи поклонодавца, чиме стиче право да захтева предају предмета поклона у својину. При чему, ако поклонодавац надживи поклонопримца, уговор и даље остаје на снази између њега као уговорне стране и наследника, </w:t>
      </w:r>
      <w:r w:rsidRPr="009636AA">
        <w:rPr>
          <w:rFonts w:cs="Times New Roman"/>
          <w:b/>
          <w:lang w:val="sr"/>
        </w:rPr>
        <w:t>али сe трансформише у једнострано раскидив правни посао и поприма карактеристике легата.</w:t>
      </w:r>
    </w:p>
    <w:p w14:paraId="099F8940" w14:textId="77777777" w:rsidR="00B136C1" w:rsidRPr="009636AA" w:rsidRDefault="00B136C1" w:rsidP="00B136C1">
      <w:pPr>
        <w:jc w:val="both"/>
        <w:rPr>
          <w:rFonts w:cs="Times New Roman"/>
          <w:lang w:val="sr"/>
        </w:rPr>
      </w:pPr>
    </w:p>
    <w:p w14:paraId="4861023D" w14:textId="77777777" w:rsidR="00B136C1" w:rsidRPr="009636AA" w:rsidRDefault="00B136C1" w:rsidP="00B136C1">
      <w:pPr>
        <w:jc w:val="both"/>
        <w:rPr>
          <w:rFonts w:cs="Times New Roman"/>
          <w:lang w:val="sr"/>
        </w:rPr>
      </w:pPr>
    </w:p>
    <w:p w14:paraId="4C9FBB85" w14:textId="77777777" w:rsidR="00B136C1" w:rsidRPr="009636AA" w:rsidRDefault="00B136C1" w:rsidP="00B136C1">
      <w:pPr>
        <w:jc w:val="both"/>
        <w:rPr>
          <w:rFonts w:cs="Times New Roman"/>
          <w:lang w:val="sr"/>
        </w:rPr>
      </w:pPr>
      <w:r w:rsidRPr="009636AA">
        <w:rPr>
          <w:rFonts w:cs="Times New Roman"/>
          <w:b/>
          <w:lang w:val="sr"/>
        </w:rPr>
        <w:t>Форма</w:t>
      </w:r>
      <w:r w:rsidRPr="009636AA">
        <w:rPr>
          <w:rFonts w:cs="Times New Roman"/>
          <w:lang w:val="sr"/>
        </w:rPr>
        <w:t xml:space="preserve">: за овај уговор потребна писмена форма, уз оверу потписа од стране надлежног органа. Али овом нормом не могу се дерогирати </w:t>
      </w:r>
      <w:r w:rsidRPr="009636AA">
        <w:rPr>
          <w:rFonts w:cs="Times New Roman"/>
          <w:b/>
          <w:lang w:val="sr"/>
        </w:rPr>
        <w:t>императивни прописи који се односе на промет непокретности.</w:t>
      </w:r>
    </w:p>
    <w:p w14:paraId="26E9C398" w14:textId="77777777" w:rsidR="00B136C1" w:rsidRPr="009636AA" w:rsidRDefault="00B136C1" w:rsidP="00B136C1">
      <w:pPr>
        <w:ind w:left="66"/>
        <w:jc w:val="both"/>
        <w:rPr>
          <w:rFonts w:cs="Times New Roman"/>
          <w:lang w:val="sr"/>
        </w:rPr>
      </w:pPr>
      <w:r w:rsidRPr="009636AA">
        <w:rPr>
          <w:rFonts w:cs="Times New Roman"/>
          <w:lang w:val="sr"/>
        </w:rPr>
        <w:tab/>
        <w:t>Имајући у виду Закон о промету непокретности из 2014. године, про</w:t>
      </w:r>
      <w:r w:rsidRPr="009636AA">
        <w:rPr>
          <w:rFonts w:cs="Times New Roman"/>
          <w:lang w:val="uz-Cyrl-UZ"/>
        </w:rPr>
        <w:t>и</w:t>
      </w:r>
      <w:r w:rsidRPr="009636AA">
        <w:rPr>
          <w:rFonts w:cs="Times New Roman"/>
          <w:lang w:val="sr"/>
        </w:rPr>
        <w:t>зилази да ако је предмет поклона за случај смрти непокретност, уговор мора бити закључен у облику јавнобележнички (потврђене) солемнизоване исправе, тако да ће за солемнизацију бити надлежан искључиво јавни бележник на чијем подручију се налази непокретност.</w:t>
      </w:r>
    </w:p>
    <w:p w14:paraId="710175BB" w14:textId="77777777" w:rsidR="00B136C1" w:rsidRPr="009636AA" w:rsidRDefault="00B136C1" w:rsidP="00B136C1">
      <w:pPr>
        <w:ind w:left="66"/>
        <w:jc w:val="both"/>
        <w:rPr>
          <w:rFonts w:cs="Times New Roman"/>
          <w:lang w:val="sr"/>
        </w:rPr>
      </w:pPr>
      <w:r w:rsidRPr="009636AA">
        <w:rPr>
          <w:rFonts w:cs="Times New Roman"/>
          <w:lang w:val="sr"/>
        </w:rPr>
        <w:t xml:space="preserve">           За поклон за случај смрти који има за предмет покретну ствар није у Нацрту ГЗРС регулисано који ће орган бити надлежан за оверу потписа на уговору. Логично би било да када је предмет уговора о поклону за случај смрти покретна ствар, да буде надлежан јавни бележник, који ће оверити потписе уговорних страна у складу са Законом о оверавању потписа, рукописа, и преписа</w:t>
      </w:r>
      <w:r w:rsidRPr="009636AA">
        <w:rPr>
          <w:rFonts w:cs="Times New Roman"/>
          <w:lang w:val="uz-Cyrl-UZ"/>
        </w:rPr>
        <w:t>,</w:t>
      </w:r>
      <w:r w:rsidRPr="009636AA">
        <w:rPr>
          <w:rFonts w:cs="Times New Roman"/>
          <w:lang w:val="sr"/>
        </w:rPr>
        <w:t xml:space="preserve"> с обзиром да је искључиво надлежан за оверу, осим ако посебним законом није предиђено другачије.</w:t>
      </w:r>
    </w:p>
    <w:p w14:paraId="600E8D21" w14:textId="77777777" w:rsidR="00B136C1" w:rsidRPr="009636AA" w:rsidRDefault="00B136C1" w:rsidP="00B136C1">
      <w:pPr>
        <w:ind w:left="66"/>
        <w:jc w:val="both"/>
        <w:rPr>
          <w:rFonts w:cs="Times New Roman"/>
          <w:lang w:val="sr"/>
        </w:rPr>
      </w:pPr>
    </w:p>
    <w:p w14:paraId="2949111E" w14:textId="77777777" w:rsidR="00B136C1" w:rsidRPr="009636AA" w:rsidRDefault="00B136C1" w:rsidP="00B136C1">
      <w:pPr>
        <w:ind w:left="66"/>
        <w:jc w:val="both"/>
        <w:rPr>
          <w:lang w:val="sr"/>
        </w:rPr>
      </w:pPr>
    </w:p>
    <w:p w14:paraId="7322757A" w14:textId="77777777" w:rsidR="00B136C1" w:rsidRPr="00BD3BD6" w:rsidRDefault="00B136C1" w:rsidP="00B136C1">
      <w:pPr>
        <w:pStyle w:val="ListParagraph"/>
        <w:widowControl w:val="0"/>
        <w:autoSpaceDE w:val="0"/>
        <w:autoSpaceDN w:val="0"/>
        <w:adjustRightInd w:val="0"/>
        <w:spacing w:after="240"/>
        <w:ind w:left="0"/>
        <w:jc w:val="center"/>
        <w:rPr>
          <w:rFonts w:cs="Times"/>
          <w:b/>
          <w:i/>
          <w:lang w:val="sr"/>
        </w:rPr>
      </w:pPr>
      <w:r w:rsidRPr="001A2F6C">
        <w:rPr>
          <w:rFonts w:cs="Times"/>
          <w:b/>
          <w:lang w:val="sr"/>
        </w:rPr>
        <w:t>ЧЕТРНАЕСТА НЕДЕЉА ПРЕДАВАЊА (</w:t>
      </w:r>
      <w:r w:rsidRPr="001A2F6C">
        <w:rPr>
          <w:rFonts w:cs="Times"/>
          <w:b/>
          <w:i/>
          <w:lang w:val="sr"/>
        </w:rPr>
        <w:t>25.06.2020.)</w:t>
      </w:r>
    </w:p>
    <w:p w14:paraId="0C01B166" w14:textId="77777777" w:rsidR="00B136C1" w:rsidRPr="001A2F6C" w:rsidRDefault="00B136C1" w:rsidP="00B136C1">
      <w:pPr>
        <w:ind w:left="66"/>
        <w:jc w:val="both"/>
        <w:rPr>
          <w:lang w:val="sr"/>
        </w:rPr>
      </w:pPr>
    </w:p>
    <w:p w14:paraId="37FF5512" w14:textId="77777777" w:rsidR="00B136C1" w:rsidRDefault="00B136C1" w:rsidP="00B136C1">
      <w:pPr>
        <w:ind w:left="66"/>
        <w:jc w:val="center"/>
        <w:rPr>
          <w:i/>
          <w:lang w:val="sr"/>
        </w:rPr>
      </w:pPr>
      <w:r w:rsidRPr="001A2F6C">
        <w:rPr>
          <w:i/>
          <w:lang w:val="sr"/>
        </w:rPr>
        <w:t>УСТУПАЊЕ НАСЛЕДНОГ ДЕЛА</w:t>
      </w:r>
    </w:p>
    <w:p w14:paraId="596F6429" w14:textId="77777777" w:rsidR="00B136C1" w:rsidRDefault="00B136C1" w:rsidP="00B136C1">
      <w:pPr>
        <w:ind w:left="66"/>
        <w:jc w:val="center"/>
        <w:rPr>
          <w:i/>
          <w:lang w:val="sr"/>
        </w:rPr>
      </w:pPr>
    </w:p>
    <w:p w14:paraId="216263D2" w14:textId="77777777" w:rsidR="00B136C1" w:rsidRPr="001A2F6C" w:rsidRDefault="00B136C1" w:rsidP="00B136C1">
      <w:pPr>
        <w:ind w:left="66"/>
        <w:jc w:val="both"/>
        <w:rPr>
          <w:i/>
          <w:lang w:val="sr"/>
        </w:rPr>
      </w:pPr>
      <w:r w:rsidRPr="005B33F1">
        <w:rPr>
          <w:rFonts w:cs="Arial"/>
          <w:b/>
          <w:sz w:val="20"/>
          <w:szCs w:val="20"/>
          <w:lang w:val="sr"/>
        </w:rPr>
        <w:t>Литература</w:t>
      </w:r>
      <w:r w:rsidRPr="005B33F1">
        <w:rPr>
          <w:rFonts w:cs="Arial"/>
          <w:sz w:val="20"/>
          <w:szCs w:val="20"/>
          <w:lang w:val="sr"/>
        </w:rPr>
        <w:t xml:space="preserve">: </w:t>
      </w:r>
      <w:r w:rsidRPr="005B33F1">
        <w:rPr>
          <w:rFonts w:cs="Arial"/>
          <w:sz w:val="20"/>
          <w:szCs w:val="20"/>
          <w:lang w:val="sr-Latn-CS"/>
        </w:rPr>
        <w:t>Д</w:t>
      </w:r>
      <w:r w:rsidRPr="005B33F1">
        <w:rPr>
          <w:rFonts w:cs="Arial"/>
          <w:sz w:val="20"/>
          <w:szCs w:val="20"/>
        </w:rPr>
        <w:t>. Ђурђевић, Институције насл</w:t>
      </w:r>
      <w:r>
        <w:rPr>
          <w:rFonts w:cs="Arial"/>
          <w:sz w:val="20"/>
          <w:szCs w:val="20"/>
        </w:rPr>
        <w:t>едног права, Београд 2015, стр. 323</w:t>
      </w:r>
      <w:r w:rsidRPr="005B33F1">
        <w:rPr>
          <w:rFonts w:cs="Arial"/>
          <w:sz w:val="20"/>
          <w:szCs w:val="20"/>
        </w:rPr>
        <w:t xml:space="preserve">; </w:t>
      </w:r>
      <w:r w:rsidRPr="005B33F1">
        <w:rPr>
          <w:rFonts w:cs="Arial"/>
          <w:sz w:val="20"/>
          <w:szCs w:val="20"/>
          <w:lang w:val="sr-Latn-CS"/>
        </w:rPr>
        <w:t>D</w:t>
      </w:r>
      <w:r w:rsidRPr="005B33F1">
        <w:rPr>
          <w:rFonts w:cs="Arial"/>
          <w:sz w:val="20"/>
          <w:szCs w:val="20"/>
          <w:lang w:val="sr-Cyrl-CS"/>
        </w:rPr>
        <w:t>.</w:t>
      </w:r>
      <w:r w:rsidRPr="005B33F1">
        <w:rPr>
          <w:rFonts w:cs="Arial"/>
          <w:sz w:val="20"/>
          <w:szCs w:val="20"/>
          <w:lang w:val="sr-Latn-CS"/>
        </w:rPr>
        <w:t xml:space="preserve"> </w:t>
      </w:r>
      <w:r w:rsidRPr="005B33F1">
        <w:rPr>
          <w:rFonts w:cs="Arial"/>
          <w:sz w:val="20"/>
          <w:szCs w:val="20"/>
          <w:lang w:val="sr-Cyrl-CS"/>
        </w:rPr>
        <w:t>Ž</w:t>
      </w:r>
      <w:r w:rsidRPr="005B33F1">
        <w:rPr>
          <w:rFonts w:cs="Arial"/>
          <w:sz w:val="20"/>
          <w:szCs w:val="20"/>
          <w:lang w:val="sr-Latn-CS"/>
        </w:rPr>
        <w:t>ivojinovi</w:t>
      </w:r>
      <w:r w:rsidRPr="005B33F1">
        <w:rPr>
          <w:rFonts w:cs="Arial"/>
          <w:sz w:val="20"/>
          <w:szCs w:val="20"/>
          <w:lang w:val="sr-Cyrl-CS"/>
        </w:rPr>
        <w:t xml:space="preserve">ć, </w:t>
      </w:r>
      <w:r w:rsidRPr="005B33F1">
        <w:rPr>
          <w:rFonts w:cs="Arial"/>
          <w:sz w:val="20"/>
          <w:szCs w:val="20"/>
          <w:lang w:val="sr-Latn-CS"/>
        </w:rPr>
        <w:t>Ustupanje</w:t>
      </w:r>
      <w:r w:rsidRPr="005B33F1">
        <w:rPr>
          <w:rFonts w:cs="Arial"/>
          <w:sz w:val="20"/>
          <w:szCs w:val="20"/>
          <w:lang w:val="sr-Cyrl-CS"/>
        </w:rPr>
        <w:t xml:space="preserve"> </w:t>
      </w:r>
      <w:r w:rsidRPr="005B33F1">
        <w:rPr>
          <w:rFonts w:cs="Arial"/>
          <w:sz w:val="20"/>
          <w:szCs w:val="20"/>
          <w:lang w:val="sr-Latn-CS"/>
        </w:rPr>
        <w:t>naslednog</w:t>
      </w:r>
      <w:r w:rsidRPr="005B33F1">
        <w:rPr>
          <w:rFonts w:cs="Arial"/>
          <w:sz w:val="20"/>
          <w:szCs w:val="20"/>
          <w:lang w:val="sr-Cyrl-CS"/>
        </w:rPr>
        <w:t xml:space="preserve"> </w:t>
      </w:r>
      <w:r w:rsidRPr="005B33F1">
        <w:rPr>
          <w:rFonts w:cs="Arial"/>
          <w:sz w:val="20"/>
          <w:szCs w:val="20"/>
          <w:lang w:val="sr-Latn-CS"/>
        </w:rPr>
        <w:t>dela</w:t>
      </w:r>
      <w:r w:rsidRPr="005B33F1">
        <w:rPr>
          <w:rFonts w:cs="Arial"/>
          <w:sz w:val="20"/>
          <w:szCs w:val="20"/>
          <w:lang w:val="sr-Cyrl-CS"/>
        </w:rPr>
        <w:t xml:space="preserve">, </w:t>
      </w:r>
      <w:r w:rsidRPr="005B33F1">
        <w:rPr>
          <w:rFonts w:cs="Arial"/>
          <w:sz w:val="20"/>
          <w:szCs w:val="20"/>
          <w:lang w:val="sr-Latn-CS"/>
        </w:rPr>
        <w:t>Pravni</w:t>
      </w:r>
      <w:r w:rsidRPr="005B33F1">
        <w:rPr>
          <w:rFonts w:cs="Arial"/>
          <w:sz w:val="20"/>
          <w:szCs w:val="20"/>
          <w:lang w:val="sr-Cyrl-CS"/>
        </w:rPr>
        <w:t xml:space="preserve"> ž</w:t>
      </w:r>
      <w:r w:rsidRPr="005B33F1">
        <w:rPr>
          <w:rFonts w:cs="Arial"/>
          <w:sz w:val="20"/>
          <w:szCs w:val="20"/>
          <w:lang w:val="sr-Latn-CS"/>
        </w:rPr>
        <w:t>ivot</w:t>
      </w:r>
      <w:r w:rsidRPr="005B33F1">
        <w:rPr>
          <w:rFonts w:cs="Arial"/>
          <w:sz w:val="20"/>
          <w:szCs w:val="20"/>
          <w:lang w:val="sr-Cyrl-CS"/>
        </w:rPr>
        <w:t xml:space="preserve">, 1997, </w:t>
      </w:r>
      <w:r w:rsidRPr="005B33F1">
        <w:rPr>
          <w:rFonts w:cs="Arial"/>
          <w:sz w:val="20"/>
          <w:szCs w:val="20"/>
          <w:lang w:val="sr-Latn-CS"/>
        </w:rPr>
        <w:t>br</w:t>
      </w:r>
      <w:r w:rsidRPr="005B33F1">
        <w:rPr>
          <w:rFonts w:cs="Arial"/>
          <w:sz w:val="20"/>
          <w:szCs w:val="20"/>
          <w:lang w:val="sr-Cyrl-CS"/>
        </w:rPr>
        <w:t xml:space="preserve">. 10, </w:t>
      </w:r>
      <w:r w:rsidRPr="005B33F1">
        <w:rPr>
          <w:rFonts w:cs="Arial"/>
          <w:sz w:val="20"/>
          <w:szCs w:val="20"/>
          <w:lang w:val="sr-Latn-CS"/>
        </w:rPr>
        <w:t>str</w:t>
      </w:r>
      <w:r w:rsidRPr="005B33F1">
        <w:rPr>
          <w:rFonts w:cs="Arial"/>
          <w:sz w:val="20"/>
          <w:szCs w:val="20"/>
          <w:lang w:val="sr-Cyrl-CS"/>
        </w:rPr>
        <w:t xml:space="preserve">. 505-516; Н. Стојановић, Наследничка заједница, Ниш 2009, </w:t>
      </w:r>
      <w:r w:rsidRPr="005B33F1">
        <w:rPr>
          <w:rFonts w:cs="Arial"/>
          <w:sz w:val="20"/>
          <w:szCs w:val="20"/>
          <w:lang w:val="sr"/>
        </w:rPr>
        <w:t>стр. 43-57</w:t>
      </w:r>
      <w:r>
        <w:rPr>
          <w:rFonts w:cs="Arial"/>
          <w:sz w:val="20"/>
          <w:szCs w:val="20"/>
          <w:lang w:val="sr-Cyrl-CS"/>
        </w:rPr>
        <w:t>.</w:t>
      </w:r>
    </w:p>
    <w:p w14:paraId="569C2A7B" w14:textId="77777777" w:rsidR="00B136C1" w:rsidRPr="001A2F6C" w:rsidRDefault="00B136C1" w:rsidP="00B136C1">
      <w:pPr>
        <w:ind w:left="66"/>
        <w:jc w:val="center"/>
        <w:rPr>
          <w:b/>
          <w:i/>
          <w:lang w:val="sr"/>
        </w:rPr>
      </w:pPr>
    </w:p>
    <w:p w14:paraId="40169D8E" w14:textId="77777777" w:rsidR="00B136C1" w:rsidRPr="001A2F6C" w:rsidRDefault="00B136C1" w:rsidP="00B136C1">
      <w:pPr>
        <w:ind w:left="66"/>
        <w:jc w:val="center"/>
        <w:rPr>
          <w:b/>
          <w:i/>
          <w:lang w:val="sr"/>
        </w:rPr>
      </w:pPr>
    </w:p>
    <w:p w14:paraId="3EA72781" w14:textId="77777777" w:rsidR="00B136C1" w:rsidRPr="001A2F6C" w:rsidRDefault="00B136C1" w:rsidP="00B136C1">
      <w:pPr>
        <w:ind w:left="66"/>
        <w:jc w:val="both"/>
        <w:rPr>
          <w:lang w:val="sr"/>
        </w:rPr>
      </w:pPr>
      <w:r w:rsidRPr="001A2F6C">
        <w:rPr>
          <w:lang w:val="sr"/>
        </w:rPr>
        <w:t xml:space="preserve">Сваки од наследника </w:t>
      </w:r>
      <w:r w:rsidRPr="001A2F6C">
        <w:rPr>
          <w:b/>
          <w:lang w:val="sr"/>
        </w:rPr>
        <w:t>има право да располаже својим наследним делом</w:t>
      </w:r>
      <w:r w:rsidRPr="001A2F6C">
        <w:rPr>
          <w:lang w:val="sr"/>
        </w:rPr>
        <w:t>. Он то може учинити у корист санаследника или трећег лица.</w:t>
      </w:r>
    </w:p>
    <w:p w14:paraId="2DA34E51" w14:textId="77777777" w:rsidR="00B136C1" w:rsidRPr="001A2F6C" w:rsidRDefault="00B136C1" w:rsidP="00B136C1">
      <w:pPr>
        <w:ind w:left="66"/>
        <w:jc w:val="both"/>
        <w:rPr>
          <w:lang w:val="sr"/>
        </w:rPr>
      </w:pPr>
    </w:p>
    <w:p w14:paraId="6D0033B8" w14:textId="77777777" w:rsidR="00B136C1" w:rsidRPr="001A2F6C" w:rsidRDefault="00B136C1" w:rsidP="00B136C1">
      <w:pPr>
        <w:ind w:left="66"/>
        <w:jc w:val="both"/>
        <w:rPr>
          <w:lang w:val="de-DE"/>
        </w:rPr>
      </w:pPr>
      <w:r w:rsidRPr="001A2F6C">
        <w:rPr>
          <w:b/>
          <w:lang w:val="sr"/>
        </w:rPr>
        <w:t>Уступање наследног дела</w:t>
      </w:r>
      <w:r w:rsidRPr="001A2F6C">
        <w:rPr>
          <w:lang w:val="sr"/>
        </w:rPr>
        <w:t xml:space="preserve"> се може извршити на два начина: </w:t>
      </w:r>
    </w:p>
    <w:p w14:paraId="3BCCFFD2" w14:textId="77777777" w:rsidR="00B136C1" w:rsidRPr="001A2F6C" w:rsidRDefault="00B136C1" w:rsidP="00B136C1">
      <w:pPr>
        <w:ind w:left="66"/>
        <w:jc w:val="both"/>
        <w:rPr>
          <w:lang w:val="sr"/>
        </w:rPr>
      </w:pPr>
      <w:r w:rsidRPr="001A2F6C">
        <w:rPr>
          <w:lang w:val="sr"/>
        </w:rPr>
        <w:t>- давањем изјаве о одрицању од наслеђа у корист одређеног наследника</w:t>
      </w:r>
    </w:p>
    <w:p w14:paraId="427EFD5F" w14:textId="77777777" w:rsidR="00B136C1" w:rsidRPr="001A2F6C" w:rsidRDefault="00B136C1" w:rsidP="00B136C1">
      <w:pPr>
        <w:ind w:left="66"/>
        <w:jc w:val="both"/>
        <w:rPr>
          <w:lang w:val="sr"/>
        </w:rPr>
      </w:pPr>
      <w:r w:rsidRPr="001A2F6C">
        <w:rPr>
          <w:lang w:val="sr"/>
        </w:rPr>
        <w:t>- уговором о преносу наследног дела</w:t>
      </w:r>
    </w:p>
    <w:p w14:paraId="1CCAF670" w14:textId="77777777" w:rsidR="00B136C1" w:rsidRPr="001A2F6C" w:rsidRDefault="00B136C1" w:rsidP="00B136C1">
      <w:pPr>
        <w:ind w:left="66"/>
        <w:jc w:val="both"/>
        <w:rPr>
          <w:lang w:val="sr"/>
        </w:rPr>
      </w:pPr>
    </w:p>
    <w:p w14:paraId="315CE0C2" w14:textId="77777777" w:rsidR="00B136C1" w:rsidRPr="001A2F6C" w:rsidRDefault="00B136C1" w:rsidP="00B136C1">
      <w:pPr>
        <w:ind w:left="66"/>
        <w:jc w:val="both"/>
        <w:rPr>
          <w:lang w:val="sr"/>
        </w:rPr>
      </w:pPr>
      <w:r w:rsidRPr="001A2F6C">
        <w:rPr>
          <w:b/>
          <w:lang w:val="sr"/>
        </w:rPr>
        <w:t>Одрицање у корист одређеног наследника</w:t>
      </w:r>
      <w:r w:rsidRPr="001A2F6C">
        <w:rPr>
          <w:lang w:val="sr"/>
        </w:rPr>
        <w:t xml:space="preserve"> није негативна наследна изјава (mada je u ZONu regulisana u okviru dela o odricanju od nasledja), већ изјава о пријему наслеђа уз истовремено уступање наследног дела. </w:t>
      </w:r>
    </w:p>
    <w:p w14:paraId="5327438C" w14:textId="77777777" w:rsidR="00B136C1" w:rsidRPr="001A2F6C" w:rsidRDefault="00B136C1" w:rsidP="00B136C1">
      <w:pPr>
        <w:ind w:left="66"/>
        <w:jc w:val="both"/>
        <w:rPr>
          <w:lang w:val="sr"/>
        </w:rPr>
      </w:pPr>
      <w:r w:rsidRPr="001A2F6C">
        <w:rPr>
          <w:lang w:val="sr"/>
        </w:rPr>
        <w:lastRenderedPageBreak/>
        <w:t>Питање је шта се подразумева под ” уступањем</w:t>
      </w:r>
      <w:r>
        <w:rPr>
          <w:lang w:val="sr"/>
        </w:rPr>
        <w:t xml:space="preserve"> наследног дела”? Д</w:t>
      </w:r>
      <w:r w:rsidRPr="001A2F6C">
        <w:rPr>
          <w:lang w:val="sr"/>
        </w:rPr>
        <w:t>а ли је то уступање правног положај</w:t>
      </w:r>
      <w:r>
        <w:rPr>
          <w:lang w:val="sr"/>
        </w:rPr>
        <w:t>а наследника или</w:t>
      </w:r>
      <w:r w:rsidRPr="001A2F6C">
        <w:rPr>
          <w:lang w:val="sr"/>
        </w:rPr>
        <w:t xml:space="preserve"> располагање наслеђивањем стеченим правима.</w:t>
      </w:r>
    </w:p>
    <w:p w14:paraId="2457403B" w14:textId="77777777" w:rsidR="00B136C1" w:rsidRPr="001A2F6C" w:rsidRDefault="00B136C1" w:rsidP="00B136C1">
      <w:pPr>
        <w:ind w:left="66"/>
        <w:jc w:val="both"/>
        <w:rPr>
          <w:lang w:val="sr"/>
        </w:rPr>
      </w:pPr>
      <w:r w:rsidRPr="001A2F6C">
        <w:rPr>
          <w:lang w:val="sr"/>
        </w:rPr>
        <w:t xml:space="preserve">То је располагање наслеђивањем стеченим правима, па лице које је уступило свој наследни део и даље задржава својство наследника. То произилази из одредби ЗОН где не одговара за дугове само онај који се одрекао наслеђа. </w:t>
      </w:r>
    </w:p>
    <w:p w14:paraId="4247E044" w14:textId="77777777" w:rsidR="00B136C1" w:rsidRPr="001A2F6C" w:rsidRDefault="00B136C1" w:rsidP="00B136C1">
      <w:pPr>
        <w:ind w:left="66"/>
        <w:jc w:val="both"/>
        <w:rPr>
          <w:lang w:val="de-DE"/>
        </w:rPr>
      </w:pPr>
      <w:r w:rsidRPr="001A2F6C">
        <w:rPr>
          <w:lang w:val="sr"/>
        </w:rPr>
        <w:t xml:space="preserve">У погледу тих права, </w:t>
      </w:r>
      <w:r w:rsidRPr="001A2F6C">
        <w:rPr>
          <w:b/>
          <w:lang w:val="sr"/>
        </w:rPr>
        <w:t>наследник који је примио уступљени наследни део</w:t>
      </w:r>
      <w:r w:rsidRPr="001A2F6C">
        <w:rPr>
          <w:lang w:val="sr"/>
        </w:rPr>
        <w:t xml:space="preserve"> није наследник оставиоца, дакле не стиче их снагом закона, већ ако су на пример ствари у питању, предајом у државину. Ту се ради о сингуларној сукцесији.</w:t>
      </w:r>
    </w:p>
    <w:p w14:paraId="5A735975" w14:textId="77777777" w:rsidR="00B136C1" w:rsidRPr="001A2F6C" w:rsidRDefault="00B136C1" w:rsidP="00B136C1">
      <w:pPr>
        <w:ind w:left="66"/>
        <w:jc w:val="both"/>
        <w:rPr>
          <w:lang w:val="sr"/>
        </w:rPr>
      </w:pPr>
    </w:p>
    <w:p w14:paraId="163BC5A8" w14:textId="77777777" w:rsidR="00B136C1" w:rsidRPr="001A2F6C" w:rsidRDefault="00B136C1" w:rsidP="00B136C1">
      <w:pPr>
        <w:pStyle w:val="NormalWeb"/>
        <w:jc w:val="both"/>
        <w:rPr>
          <w:rFonts w:asciiTheme="minorHAnsi" w:hAnsiTheme="minorHAnsi"/>
          <w:sz w:val="24"/>
          <w:szCs w:val="24"/>
        </w:rPr>
      </w:pPr>
      <w:r w:rsidRPr="001A2F6C">
        <w:rPr>
          <w:rFonts w:asciiTheme="minorHAnsi" w:hAnsiTheme="minorHAnsi"/>
          <w:b/>
          <w:sz w:val="24"/>
          <w:szCs w:val="24"/>
          <w:lang w:val="sr"/>
        </w:rPr>
        <w:t>Правна природа изјаве о одрицању</w:t>
      </w:r>
      <w:r w:rsidRPr="001A2F6C">
        <w:rPr>
          <w:rFonts w:asciiTheme="minorHAnsi" w:hAnsiTheme="minorHAnsi"/>
          <w:sz w:val="24"/>
          <w:szCs w:val="24"/>
          <w:lang w:val="sr"/>
        </w:rPr>
        <w:t>. По својој природи то је позитивна наследна изјава и понуда за закључење правног посла, којим се наследни део уступа. Ако се пренос наследног дела врши без накнаде ради се о поклону. То је и став законодавца</w:t>
      </w:r>
      <w:r w:rsidRPr="001A2F6C">
        <w:rPr>
          <w:rFonts w:asciiTheme="minorHAnsi" w:hAnsiTheme="minorHAnsi"/>
          <w:lang w:val="sr"/>
        </w:rPr>
        <w:t xml:space="preserve">  (</w:t>
      </w:r>
      <w:r>
        <w:rPr>
          <w:rFonts w:asciiTheme="minorHAnsi" w:hAnsiTheme="minorHAnsi"/>
          <w:lang w:val="sr"/>
        </w:rPr>
        <w:t>”</w:t>
      </w:r>
      <w:r w:rsidRPr="004C76C9">
        <w:rPr>
          <w:rFonts w:asciiTheme="minorHAnsi" w:hAnsiTheme="minorHAnsi" w:cs="Arial"/>
          <w:b/>
          <w:i/>
          <w:sz w:val="24"/>
          <w:szCs w:val="24"/>
        </w:rPr>
        <w:t xml:space="preserve">Po prijemu ustupljenog dela na odnose između ustupioca i prijemnika primenjuju se pravila o poklonu”. </w:t>
      </w:r>
      <w:r w:rsidRPr="004C76C9">
        <w:rPr>
          <w:rFonts w:asciiTheme="minorHAnsi" w:hAnsiTheme="minorHAnsi"/>
          <w:b/>
          <w:i/>
          <w:sz w:val="24"/>
          <w:szCs w:val="24"/>
          <w:lang w:val="sr"/>
        </w:rPr>
        <w:t>сl. 216, st 2 ZON-a)</w:t>
      </w:r>
      <w:r w:rsidRPr="001A2F6C">
        <w:rPr>
          <w:rFonts w:asciiTheme="minorHAnsi" w:hAnsiTheme="minorHAnsi"/>
          <w:sz w:val="24"/>
          <w:szCs w:val="24"/>
          <w:lang w:val="sr"/>
        </w:rPr>
        <w:t>. Mеђутим, ако је теретно уступање, морају се применити правила која важе за теретне правне послове.</w:t>
      </w:r>
    </w:p>
    <w:p w14:paraId="0E1A83F1" w14:textId="77777777" w:rsidR="00B136C1" w:rsidRPr="001A2F6C" w:rsidRDefault="00B136C1" w:rsidP="00B136C1">
      <w:pPr>
        <w:ind w:left="66"/>
        <w:jc w:val="both"/>
        <w:rPr>
          <w:lang w:val="sr"/>
        </w:rPr>
      </w:pPr>
    </w:p>
    <w:p w14:paraId="2A447A16" w14:textId="77777777" w:rsidR="00B136C1" w:rsidRPr="001A2F6C" w:rsidRDefault="00B136C1" w:rsidP="00B136C1">
      <w:pPr>
        <w:ind w:left="66"/>
        <w:jc w:val="both"/>
        <w:rPr>
          <w:lang w:val="sr"/>
        </w:rPr>
      </w:pPr>
      <w:r w:rsidRPr="001A2F6C">
        <w:rPr>
          <w:b/>
          <w:lang w:val="sr"/>
        </w:rPr>
        <w:t>Ко има право на одрицање</w:t>
      </w:r>
      <w:r>
        <w:rPr>
          <w:lang w:val="sr"/>
        </w:rPr>
        <w:t>?</w:t>
      </w:r>
      <w:r w:rsidRPr="001A2F6C">
        <w:rPr>
          <w:lang w:val="sr"/>
        </w:rPr>
        <w:t xml:space="preserve"> Лице које је по самом закону стекло својство наследника. Пунолетни наследник може у своје име, а они који то нису, преко законског заступника и уз поштовање правила породичног права о пуноважности такве изјаве. </w:t>
      </w:r>
    </w:p>
    <w:p w14:paraId="200C670D" w14:textId="77777777" w:rsidR="00B136C1" w:rsidRPr="001A2F6C" w:rsidRDefault="00B136C1" w:rsidP="00B136C1">
      <w:pPr>
        <w:ind w:left="66"/>
        <w:jc w:val="both"/>
        <w:rPr>
          <w:lang w:val="sr"/>
        </w:rPr>
      </w:pPr>
      <w:r w:rsidRPr="001A2F6C">
        <w:rPr>
          <w:lang w:val="sr"/>
        </w:rPr>
        <w:t>Да ли то право има законски и завештајни наследник?</w:t>
      </w:r>
    </w:p>
    <w:p w14:paraId="16DA1506" w14:textId="77777777" w:rsidR="00B136C1" w:rsidRPr="001A2F6C" w:rsidRDefault="00B136C1" w:rsidP="00B136C1">
      <w:pPr>
        <w:ind w:left="66"/>
        <w:jc w:val="both"/>
        <w:rPr>
          <w:lang w:val="sr"/>
        </w:rPr>
      </w:pPr>
      <w:r w:rsidRPr="001A2F6C">
        <w:rPr>
          <w:lang w:val="sr"/>
        </w:rPr>
        <w:t xml:space="preserve">А одрицање се не може вршити </w:t>
      </w:r>
      <w:r w:rsidRPr="001A2F6C">
        <w:rPr>
          <w:b/>
          <w:lang w:val="sr"/>
        </w:rPr>
        <w:t>у корист санаследника</w:t>
      </w:r>
      <w:r w:rsidRPr="001A2F6C">
        <w:rPr>
          <w:lang w:val="sr"/>
        </w:rPr>
        <w:t xml:space="preserve"> који се одрекао наслеђа, или онаг који нема својство наследника. Може и у корист завештајног, јер он овим давањем задржава својство наследника.</w:t>
      </w:r>
    </w:p>
    <w:p w14:paraId="47653C9A" w14:textId="77777777" w:rsidR="00B136C1" w:rsidRPr="001A2F6C" w:rsidRDefault="00B136C1" w:rsidP="00B136C1">
      <w:pPr>
        <w:ind w:left="66"/>
        <w:jc w:val="both"/>
        <w:rPr>
          <w:lang w:val="sr"/>
        </w:rPr>
      </w:pPr>
    </w:p>
    <w:p w14:paraId="11D2CD58" w14:textId="77777777" w:rsidR="00B136C1" w:rsidRPr="001A2F6C" w:rsidRDefault="00B136C1" w:rsidP="00B136C1">
      <w:pPr>
        <w:ind w:left="66"/>
        <w:jc w:val="both"/>
        <w:rPr>
          <w:b/>
          <w:lang w:val="sr"/>
        </w:rPr>
      </w:pPr>
      <w:r w:rsidRPr="001A2F6C">
        <w:rPr>
          <w:b/>
          <w:lang w:val="sr"/>
        </w:rPr>
        <w:t>Садржина изјаве – да ли може бити условљена, ор</w:t>
      </w:r>
      <w:r>
        <w:rPr>
          <w:b/>
          <w:lang w:val="sr"/>
        </w:rPr>
        <w:t>очена или делимична?</w:t>
      </w:r>
    </w:p>
    <w:p w14:paraId="5F1C63F0" w14:textId="77777777" w:rsidR="00B136C1" w:rsidRPr="001A2F6C" w:rsidRDefault="00B136C1" w:rsidP="00B136C1">
      <w:pPr>
        <w:ind w:left="66"/>
        <w:jc w:val="both"/>
        <w:rPr>
          <w:lang w:val="sr"/>
        </w:rPr>
      </w:pPr>
      <w:r>
        <w:rPr>
          <w:lang w:val="sr"/>
        </w:rPr>
        <w:t>О</w:t>
      </w:r>
      <w:r w:rsidRPr="001A2F6C">
        <w:rPr>
          <w:lang w:val="sr"/>
        </w:rPr>
        <w:t>дговор је позитиван, будући да законодавац то не забрањује. Додуше, законод</w:t>
      </w:r>
      <w:r>
        <w:rPr>
          <w:lang w:val="sr"/>
        </w:rPr>
        <w:t>а</w:t>
      </w:r>
      <w:r w:rsidRPr="001A2F6C">
        <w:rPr>
          <w:lang w:val="sr"/>
        </w:rPr>
        <w:t>вац сматра да услови, рокови или делимично одрицање не постоје код изј</w:t>
      </w:r>
      <w:r>
        <w:rPr>
          <w:lang w:val="sr"/>
        </w:rPr>
        <w:t>аве о пријему наслеђа, али се ов</w:t>
      </w:r>
      <w:r w:rsidRPr="001A2F6C">
        <w:rPr>
          <w:lang w:val="sr"/>
        </w:rPr>
        <w:t>о не односи и на уступање, па оно може бити делимично, условљено ии орочено,</w:t>
      </w:r>
      <w:r>
        <w:rPr>
          <w:lang w:val="sr"/>
        </w:rPr>
        <w:t xml:space="preserve"> у границама слободе уговоарања будући да се овде уступа наслеђивањем стечен наслени део а не својство наследника.</w:t>
      </w:r>
    </w:p>
    <w:p w14:paraId="5F32C627" w14:textId="77777777" w:rsidR="00B136C1" w:rsidRPr="001A2F6C" w:rsidRDefault="00B136C1" w:rsidP="00B136C1">
      <w:pPr>
        <w:ind w:left="66"/>
        <w:jc w:val="both"/>
        <w:rPr>
          <w:lang w:val="sr"/>
        </w:rPr>
      </w:pPr>
    </w:p>
    <w:p w14:paraId="39E8A973" w14:textId="77777777" w:rsidR="00B136C1" w:rsidRPr="001A2F6C" w:rsidRDefault="00B136C1" w:rsidP="00B136C1">
      <w:pPr>
        <w:ind w:left="66"/>
        <w:jc w:val="both"/>
        <w:rPr>
          <w:lang w:val="sr"/>
        </w:rPr>
      </w:pPr>
      <w:r w:rsidRPr="001A2F6C">
        <w:rPr>
          <w:b/>
          <w:lang w:val="sr"/>
        </w:rPr>
        <w:t>Форма.</w:t>
      </w:r>
      <w:r w:rsidRPr="001A2F6C">
        <w:rPr>
          <w:lang w:val="sr"/>
        </w:rPr>
        <w:t xml:space="preserve"> Иста као наследна изјава – у форми усмене изјаве или писменог поднеска где потпис </w:t>
      </w:r>
      <w:r>
        <w:rPr>
          <w:lang w:val="sr"/>
        </w:rPr>
        <w:t>лица</w:t>
      </w:r>
      <w:r w:rsidRPr="001A2F6C">
        <w:rPr>
          <w:lang w:val="sr"/>
        </w:rPr>
        <w:t xml:space="preserve"> мора бити оверен.</w:t>
      </w:r>
    </w:p>
    <w:p w14:paraId="2DB96E1B" w14:textId="77777777" w:rsidR="00B136C1" w:rsidRPr="001A2F6C" w:rsidRDefault="00B136C1" w:rsidP="00B136C1">
      <w:pPr>
        <w:ind w:left="66"/>
        <w:jc w:val="both"/>
        <w:rPr>
          <w:lang w:val="sr"/>
        </w:rPr>
      </w:pPr>
    </w:p>
    <w:p w14:paraId="3DC1C6AB" w14:textId="77777777" w:rsidR="00B136C1" w:rsidRPr="001A2F6C" w:rsidRDefault="00B136C1" w:rsidP="00B136C1">
      <w:pPr>
        <w:ind w:left="66"/>
        <w:jc w:val="both"/>
        <w:rPr>
          <w:lang w:val="sr"/>
        </w:rPr>
      </w:pPr>
      <w:r w:rsidRPr="001A2F6C">
        <w:rPr>
          <w:b/>
          <w:lang w:val="sr"/>
        </w:rPr>
        <w:t xml:space="preserve">Правне последице. </w:t>
      </w:r>
      <w:r>
        <w:rPr>
          <w:lang w:val="sr"/>
        </w:rPr>
        <w:t>Н</w:t>
      </w:r>
      <w:r w:rsidRPr="001A2F6C">
        <w:rPr>
          <w:lang w:val="sr"/>
        </w:rPr>
        <w:t>аследник који је уступио наследни део и даље задржава својство наследника, одговара за дугов</w:t>
      </w:r>
      <w:r>
        <w:rPr>
          <w:lang w:val="sr"/>
        </w:rPr>
        <w:t>е, за исплату легага и налога. К</w:t>
      </w:r>
      <w:r w:rsidRPr="001A2F6C">
        <w:rPr>
          <w:lang w:val="sr"/>
        </w:rPr>
        <w:t xml:space="preserve">ао наследник, он има право </w:t>
      </w:r>
      <w:r>
        <w:rPr>
          <w:lang w:val="sr"/>
        </w:rPr>
        <w:t xml:space="preserve">да </w:t>
      </w:r>
      <w:r w:rsidRPr="001A2F6C">
        <w:rPr>
          <w:lang w:val="sr"/>
        </w:rPr>
        <w:t xml:space="preserve">наследни накнадно пронађену имовину, на прираштај. </w:t>
      </w:r>
    </w:p>
    <w:p w14:paraId="4DEF6530" w14:textId="77777777" w:rsidR="00B136C1" w:rsidRPr="001A2F6C" w:rsidRDefault="00B136C1" w:rsidP="00B136C1">
      <w:pPr>
        <w:ind w:left="66"/>
        <w:jc w:val="both"/>
        <w:rPr>
          <w:lang w:val="sr"/>
        </w:rPr>
      </w:pPr>
      <w:r w:rsidRPr="001A2F6C">
        <w:rPr>
          <w:lang w:val="sr"/>
        </w:rPr>
        <w:t>Уколико овај не прихвати уступање, остаје позитивна наследна изјава, будући да је неопозива. Може се поништавати.</w:t>
      </w:r>
    </w:p>
    <w:p w14:paraId="7409BED2" w14:textId="77777777" w:rsidR="00B136C1" w:rsidRPr="001A2F6C" w:rsidRDefault="00B136C1" w:rsidP="00B136C1">
      <w:pPr>
        <w:ind w:left="66"/>
        <w:jc w:val="both"/>
        <w:rPr>
          <w:lang w:val="sr"/>
        </w:rPr>
      </w:pPr>
    </w:p>
    <w:p w14:paraId="34EA7D12" w14:textId="77777777" w:rsidR="00B136C1" w:rsidRPr="001A2F6C" w:rsidRDefault="00B136C1" w:rsidP="00B136C1">
      <w:pPr>
        <w:ind w:left="66"/>
        <w:jc w:val="both"/>
        <w:rPr>
          <w:lang w:val="sr"/>
        </w:rPr>
      </w:pPr>
    </w:p>
    <w:p w14:paraId="22CCDBE8" w14:textId="77777777" w:rsidR="00B136C1" w:rsidRPr="001A2F6C" w:rsidRDefault="00B136C1" w:rsidP="00B136C1">
      <w:pPr>
        <w:ind w:left="66"/>
        <w:jc w:val="center"/>
        <w:rPr>
          <w:b/>
          <w:sz w:val="28"/>
          <w:szCs w:val="28"/>
          <w:lang w:val="sr"/>
        </w:rPr>
      </w:pPr>
      <w:r w:rsidRPr="001A2F6C">
        <w:rPr>
          <w:b/>
          <w:sz w:val="28"/>
          <w:szCs w:val="28"/>
          <w:lang w:val="sr"/>
        </w:rPr>
        <w:t>Уговор о преносу наследног дела санаследнику</w:t>
      </w:r>
    </w:p>
    <w:p w14:paraId="281D07E2" w14:textId="77777777" w:rsidR="00B136C1" w:rsidRPr="001A2F6C" w:rsidRDefault="00B136C1" w:rsidP="00B136C1">
      <w:pPr>
        <w:ind w:left="66"/>
        <w:jc w:val="center"/>
        <w:rPr>
          <w:b/>
          <w:sz w:val="28"/>
          <w:szCs w:val="28"/>
          <w:lang w:val="sr"/>
        </w:rPr>
      </w:pPr>
    </w:p>
    <w:p w14:paraId="7CC43035" w14:textId="77777777" w:rsidR="00B136C1" w:rsidRPr="001A2F6C" w:rsidRDefault="00B136C1" w:rsidP="00B136C1">
      <w:pPr>
        <w:ind w:left="66"/>
        <w:jc w:val="both"/>
        <w:rPr>
          <w:lang w:val="sr"/>
        </w:rPr>
      </w:pPr>
      <w:r w:rsidRPr="001A2F6C">
        <w:rPr>
          <w:lang w:val="sr"/>
        </w:rPr>
        <w:t>Осим путем изјаве о одрицању од наслеђа у корист одређеног наследника, санаследник може санаследнику, свој наследни део пренети уговором. Тај уговор може бити теретан или доброчин, и односити се на цео наследни део или његов део.</w:t>
      </w:r>
    </w:p>
    <w:p w14:paraId="0D7A498F" w14:textId="77777777" w:rsidR="00B136C1" w:rsidRPr="001A2F6C" w:rsidRDefault="00B136C1" w:rsidP="00B136C1">
      <w:pPr>
        <w:ind w:left="66"/>
        <w:jc w:val="both"/>
        <w:rPr>
          <w:lang w:val="sr"/>
        </w:rPr>
      </w:pPr>
    </w:p>
    <w:p w14:paraId="2764A06F" w14:textId="77777777" w:rsidR="00B136C1" w:rsidRPr="001A2F6C" w:rsidRDefault="00B136C1" w:rsidP="00B136C1">
      <w:pPr>
        <w:ind w:left="66"/>
        <w:jc w:val="both"/>
        <w:rPr>
          <w:lang w:val="sr"/>
        </w:rPr>
      </w:pPr>
      <w:r w:rsidRPr="001A2F6C">
        <w:rPr>
          <w:lang w:val="sr"/>
        </w:rPr>
        <w:t>Када се овај уговор може закључити?</w:t>
      </w:r>
    </w:p>
    <w:p w14:paraId="5A6B7F9D" w14:textId="77777777" w:rsidR="00B136C1" w:rsidRPr="001A2F6C" w:rsidRDefault="00B136C1" w:rsidP="00B136C1">
      <w:pPr>
        <w:ind w:left="66"/>
        <w:jc w:val="both"/>
        <w:rPr>
          <w:lang w:val="sr"/>
        </w:rPr>
      </w:pPr>
    </w:p>
    <w:p w14:paraId="690B9A33" w14:textId="77777777" w:rsidR="00B136C1" w:rsidRPr="001A2F6C" w:rsidRDefault="00B136C1" w:rsidP="00B136C1">
      <w:pPr>
        <w:ind w:left="66"/>
        <w:jc w:val="both"/>
        <w:rPr>
          <w:lang w:val="sr"/>
        </w:rPr>
      </w:pPr>
      <w:r w:rsidRPr="001A2F6C">
        <w:rPr>
          <w:lang w:val="sr"/>
        </w:rPr>
        <w:t xml:space="preserve">Два мишљења: </w:t>
      </w:r>
    </w:p>
    <w:p w14:paraId="7D279381" w14:textId="77777777" w:rsidR="00B136C1" w:rsidRPr="001A2F6C" w:rsidRDefault="00B136C1" w:rsidP="00B136C1">
      <w:pPr>
        <w:pStyle w:val="ListParagraph"/>
        <w:numPr>
          <w:ilvl w:val="0"/>
          <w:numId w:val="2"/>
        </w:numPr>
        <w:jc w:val="both"/>
        <w:rPr>
          <w:lang w:val="sr"/>
        </w:rPr>
      </w:pPr>
      <w:r w:rsidRPr="001A2F6C">
        <w:rPr>
          <w:lang w:val="sr"/>
        </w:rPr>
        <w:t>Након правоснажности решења</w:t>
      </w:r>
    </w:p>
    <w:p w14:paraId="7252BB2A" w14:textId="77777777" w:rsidR="00B136C1" w:rsidRPr="001A2F6C" w:rsidRDefault="00B136C1" w:rsidP="00B136C1">
      <w:pPr>
        <w:pStyle w:val="ListParagraph"/>
        <w:numPr>
          <w:ilvl w:val="0"/>
          <w:numId w:val="2"/>
        </w:numPr>
        <w:jc w:val="both"/>
        <w:rPr>
          <w:lang w:val="sr"/>
        </w:rPr>
      </w:pPr>
      <w:r w:rsidRPr="001A2F6C">
        <w:rPr>
          <w:lang w:val="sr"/>
        </w:rPr>
        <w:t>Може пре или ван оставинске расправе, али пре деобе насл</w:t>
      </w:r>
      <w:r>
        <w:rPr>
          <w:lang w:val="sr"/>
        </w:rPr>
        <w:t>еђа. Арг. је што оставинско</w:t>
      </w:r>
      <w:r w:rsidRPr="001A2F6C">
        <w:rPr>
          <w:lang w:val="sr"/>
        </w:rPr>
        <w:t xml:space="preserve"> решење има декларативни карактер.</w:t>
      </w:r>
    </w:p>
    <w:p w14:paraId="6AE32B79" w14:textId="77777777" w:rsidR="00B136C1" w:rsidRPr="001A2F6C" w:rsidRDefault="00B136C1" w:rsidP="00B136C1">
      <w:pPr>
        <w:jc w:val="both"/>
        <w:rPr>
          <w:lang w:val="sr"/>
        </w:rPr>
      </w:pPr>
    </w:p>
    <w:p w14:paraId="2807AC7B" w14:textId="77777777" w:rsidR="00B136C1" w:rsidRPr="001A2F6C" w:rsidRDefault="00B136C1" w:rsidP="00B136C1">
      <w:pPr>
        <w:jc w:val="both"/>
        <w:rPr>
          <w:lang w:val="sr"/>
        </w:rPr>
      </w:pPr>
      <w:r w:rsidRPr="001A2F6C">
        <w:rPr>
          <w:lang w:val="sr"/>
        </w:rPr>
        <w:t xml:space="preserve">Уговорне стране су санаследници. Овај уговор је отуђење припалог наследства и за последицу има </w:t>
      </w:r>
      <w:r w:rsidRPr="001A2F6C">
        <w:rPr>
          <w:b/>
          <w:lang w:val="sr"/>
        </w:rPr>
        <w:t xml:space="preserve">измену удела санаследника у наследничкој заједници. </w:t>
      </w:r>
      <w:r w:rsidRPr="001A2F6C">
        <w:rPr>
          <w:lang w:val="sr"/>
        </w:rPr>
        <w:t xml:space="preserve">Ако је у целости извршен пренос наследног дела, излазак уступиоца из наследничке заједнице не значи губитак својства наследника које је стекао </w:t>
      </w:r>
      <w:r>
        <w:rPr>
          <w:lang w:val="sr"/>
        </w:rPr>
        <w:t>ipso iure</w:t>
      </w:r>
      <w:r w:rsidRPr="001A2F6C">
        <w:rPr>
          <w:lang w:val="sr"/>
        </w:rPr>
        <w:t xml:space="preserve">. По питању његовог положаја, права и обавеза, важи оно што је речено код одрицања од наслеђа у корист одређеног наследника. </w:t>
      </w:r>
    </w:p>
    <w:p w14:paraId="4970B756" w14:textId="77777777" w:rsidR="00B136C1" w:rsidRPr="001A2F6C" w:rsidRDefault="00B136C1" w:rsidP="00B136C1">
      <w:pPr>
        <w:jc w:val="both"/>
        <w:rPr>
          <w:lang w:val="sr"/>
        </w:rPr>
      </w:pPr>
      <w:r w:rsidRPr="001A2F6C">
        <w:rPr>
          <w:lang w:val="sr"/>
        </w:rPr>
        <w:t>За пуноважност уговора потребни су уобичајени материјалноправни услови.</w:t>
      </w:r>
    </w:p>
    <w:p w14:paraId="0436311E" w14:textId="77777777" w:rsidR="00B136C1" w:rsidRPr="001A2F6C" w:rsidRDefault="00B136C1" w:rsidP="00B136C1">
      <w:pPr>
        <w:jc w:val="both"/>
        <w:rPr>
          <w:lang w:val="sr"/>
        </w:rPr>
      </w:pPr>
    </w:p>
    <w:p w14:paraId="2E06FB54" w14:textId="77777777" w:rsidR="00B136C1" w:rsidRPr="001A2F6C" w:rsidRDefault="00B136C1" w:rsidP="00B136C1">
      <w:pPr>
        <w:jc w:val="both"/>
        <w:rPr>
          <w:b/>
          <w:lang w:val="sr"/>
        </w:rPr>
      </w:pPr>
      <w:r w:rsidRPr="001A2F6C">
        <w:rPr>
          <w:b/>
          <w:lang w:val="sr"/>
        </w:rPr>
        <w:t>Форма уговора.</w:t>
      </w:r>
    </w:p>
    <w:p w14:paraId="5CE49E87" w14:textId="77777777" w:rsidR="00B136C1" w:rsidRPr="001A2F6C" w:rsidRDefault="00B136C1" w:rsidP="00B136C1">
      <w:pPr>
        <w:jc w:val="both"/>
        <w:rPr>
          <w:lang w:val="sr"/>
        </w:rPr>
      </w:pPr>
      <w:r w:rsidRPr="001A2F6C">
        <w:rPr>
          <w:lang w:val="sr"/>
        </w:rPr>
        <w:t>Пре увођења нотаријата у наше правни систем, овај уговор је сачињаван у писменој форми и овераван од стране судије. Данас у виду јавнобележнички потврђене (солемнизоване) исправе.</w:t>
      </w:r>
    </w:p>
    <w:p w14:paraId="49A29927" w14:textId="77777777" w:rsidR="00B136C1" w:rsidRPr="001A2F6C" w:rsidRDefault="00B136C1" w:rsidP="00B136C1">
      <w:pPr>
        <w:jc w:val="both"/>
        <w:rPr>
          <w:lang w:val="sr"/>
        </w:rPr>
      </w:pPr>
    </w:p>
    <w:p w14:paraId="7DDA4D86" w14:textId="77777777" w:rsidR="00B136C1" w:rsidRPr="001A2F6C" w:rsidRDefault="00B136C1" w:rsidP="00B136C1">
      <w:pPr>
        <w:jc w:val="both"/>
        <w:rPr>
          <w:lang w:val="sr"/>
        </w:rPr>
      </w:pPr>
    </w:p>
    <w:p w14:paraId="3ADCFE26" w14:textId="77777777" w:rsidR="00B136C1" w:rsidRPr="001A2F6C" w:rsidRDefault="00B136C1" w:rsidP="00B136C1">
      <w:pPr>
        <w:jc w:val="center"/>
        <w:rPr>
          <w:lang w:val="sr"/>
        </w:rPr>
      </w:pPr>
      <w:r w:rsidRPr="001A2F6C">
        <w:rPr>
          <w:b/>
          <w:sz w:val="28"/>
          <w:szCs w:val="28"/>
          <w:lang w:val="sr"/>
        </w:rPr>
        <w:t>Уговор о преносу наследног дела</w:t>
      </w:r>
    </w:p>
    <w:p w14:paraId="4B0EC402" w14:textId="77777777" w:rsidR="00B136C1" w:rsidRPr="001A2F6C" w:rsidRDefault="00B136C1" w:rsidP="00B136C1">
      <w:pPr>
        <w:ind w:left="66"/>
        <w:jc w:val="center"/>
        <w:rPr>
          <w:b/>
          <w:sz w:val="28"/>
          <w:szCs w:val="28"/>
          <w:lang w:val="sr"/>
        </w:rPr>
      </w:pPr>
    </w:p>
    <w:p w14:paraId="10825027" w14:textId="77777777" w:rsidR="00B136C1" w:rsidRPr="001A2F6C" w:rsidRDefault="00B136C1" w:rsidP="00B136C1">
      <w:pPr>
        <w:ind w:left="66"/>
        <w:jc w:val="center"/>
        <w:rPr>
          <w:b/>
          <w:sz w:val="28"/>
          <w:szCs w:val="28"/>
          <w:lang w:val="sr"/>
        </w:rPr>
      </w:pPr>
    </w:p>
    <w:p w14:paraId="7249B052" w14:textId="77777777" w:rsidR="00B136C1" w:rsidRPr="001A2F6C" w:rsidRDefault="00B136C1" w:rsidP="00B136C1">
      <w:pPr>
        <w:ind w:left="66"/>
        <w:jc w:val="both"/>
        <w:rPr>
          <w:lang w:val="sr"/>
        </w:rPr>
      </w:pPr>
      <w:r w:rsidRPr="001A2F6C">
        <w:rPr>
          <w:b/>
          <w:lang w:val="sr"/>
        </w:rPr>
        <w:t>До деобе наследства</w:t>
      </w:r>
      <w:r w:rsidRPr="001A2F6C">
        <w:rPr>
          <w:lang w:val="sr"/>
        </w:rPr>
        <w:t xml:space="preserve"> наследник може уговором свој наследни део пренети трећем лицу, у целости или делимично. </w:t>
      </w:r>
    </w:p>
    <w:p w14:paraId="0FFE36EC" w14:textId="77777777" w:rsidR="00B136C1" w:rsidRPr="001A2F6C" w:rsidRDefault="00B136C1" w:rsidP="00B136C1">
      <w:pPr>
        <w:ind w:left="66"/>
        <w:jc w:val="both"/>
        <w:rPr>
          <w:lang w:val="sr"/>
        </w:rPr>
      </w:pPr>
    </w:p>
    <w:p w14:paraId="268DBC66" w14:textId="77777777" w:rsidR="00B136C1" w:rsidRPr="001A2F6C" w:rsidRDefault="00B136C1" w:rsidP="00B136C1">
      <w:pPr>
        <w:ind w:left="66"/>
        <w:jc w:val="both"/>
        <w:rPr>
          <w:lang w:val="sr"/>
        </w:rPr>
      </w:pPr>
      <w:r w:rsidRPr="001A2F6C">
        <w:rPr>
          <w:lang w:val="sr"/>
        </w:rPr>
        <w:t>Ко је треће лице?</w:t>
      </w:r>
    </w:p>
    <w:p w14:paraId="26816588" w14:textId="77777777" w:rsidR="00B136C1" w:rsidRPr="001A2F6C" w:rsidRDefault="00B136C1" w:rsidP="00B136C1">
      <w:pPr>
        <w:ind w:left="66"/>
        <w:jc w:val="both"/>
        <w:rPr>
          <w:lang w:val="sr"/>
        </w:rPr>
      </w:pPr>
    </w:p>
    <w:p w14:paraId="4D20C907" w14:textId="77777777" w:rsidR="00B136C1" w:rsidRPr="001A2F6C" w:rsidRDefault="00B136C1" w:rsidP="00B136C1">
      <w:pPr>
        <w:ind w:left="66"/>
        <w:jc w:val="both"/>
        <w:rPr>
          <w:lang w:val="sr"/>
        </w:rPr>
      </w:pPr>
      <w:r w:rsidRPr="001A2F6C">
        <w:rPr>
          <w:lang w:val="sr"/>
        </w:rPr>
        <w:t>Ово је типичан облигационоправни уговор, теретан или доброчин, који може бити закључен под условом или роком.</w:t>
      </w:r>
    </w:p>
    <w:p w14:paraId="7DCCFB57" w14:textId="77777777" w:rsidR="00B136C1" w:rsidRPr="001A2F6C" w:rsidRDefault="00B136C1" w:rsidP="00B136C1">
      <w:pPr>
        <w:ind w:left="66"/>
        <w:jc w:val="both"/>
        <w:rPr>
          <w:lang w:val="sr"/>
        </w:rPr>
      </w:pPr>
      <w:r w:rsidRPr="001A2F6C">
        <w:rPr>
          <w:lang w:val="sr"/>
        </w:rPr>
        <w:t xml:space="preserve">По питању дејства уговора, овде је специфично што је </w:t>
      </w:r>
      <w:r w:rsidRPr="001A2F6C">
        <w:rPr>
          <w:b/>
          <w:lang w:val="sr"/>
        </w:rPr>
        <w:t>извршење овог уговора одложено након деобе.</w:t>
      </w:r>
      <w:r w:rsidRPr="001A2F6C">
        <w:rPr>
          <w:lang w:val="sr"/>
        </w:rPr>
        <w:t xml:space="preserve"> Треће лице до тада нема никакво друго право. Оно не може тражити деобу наследства, нити улази у наследничку заједницу, али ако санаследник одуговлачи са деобом, може захтева</w:t>
      </w:r>
      <w:r>
        <w:rPr>
          <w:lang w:val="sr"/>
        </w:rPr>
        <w:t>т</w:t>
      </w:r>
      <w:r w:rsidRPr="001A2F6C">
        <w:rPr>
          <w:lang w:val="sr"/>
        </w:rPr>
        <w:t>и раскид уговора и накнаду штете коју услед тог има (ако је има).</w:t>
      </w:r>
    </w:p>
    <w:p w14:paraId="3BD324BA" w14:textId="77777777" w:rsidR="00B136C1" w:rsidRPr="001A2F6C" w:rsidRDefault="00B136C1" w:rsidP="00B136C1">
      <w:pPr>
        <w:ind w:left="66"/>
        <w:jc w:val="both"/>
        <w:rPr>
          <w:lang w:val="sr"/>
        </w:rPr>
      </w:pPr>
    </w:p>
    <w:p w14:paraId="2E34D19B" w14:textId="77777777" w:rsidR="00B136C1" w:rsidRPr="001A2F6C" w:rsidRDefault="00B136C1" w:rsidP="00B136C1">
      <w:pPr>
        <w:ind w:left="66"/>
        <w:jc w:val="both"/>
        <w:rPr>
          <w:lang w:val="sr"/>
        </w:rPr>
      </w:pPr>
      <w:r w:rsidRPr="001A2F6C">
        <w:rPr>
          <w:lang w:val="sr"/>
        </w:rPr>
        <w:lastRenderedPageBreak/>
        <w:t>У погледу услова пуноважности важи све исто што је речено за претходни.</w:t>
      </w:r>
    </w:p>
    <w:p w14:paraId="3B59FF93" w14:textId="77777777" w:rsidR="00B136C1" w:rsidRPr="001A2F6C" w:rsidRDefault="00B136C1" w:rsidP="00B136C1">
      <w:pPr>
        <w:ind w:left="66"/>
        <w:jc w:val="both"/>
        <w:rPr>
          <w:lang w:val="sr"/>
        </w:rPr>
      </w:pPr>
    </w:p>
    <w:p w14:paraId="06AE8332" w14:textId="77777777" w:rsidR="00B136C1" w:rsidRPr="001A2F6C" w:rsidRDefault="00B136C1" w:rsidP="00B136C1">
      <w:pPr>
        <w:ind w:left="66"/>
        <w:jc w:val="center"/>
        <w:rPr>
          <w:b/>
          <w:sz w:val="28"/>
          <w:szCs w:val="28"/>
          <w:lang w:val="sr"/>
        </w:rPr>
      </w:pPr>
      <w:r w:rsidRPr="001A2F6C">
        <w:rPr>
          <w:b/>
          <w:sz w:val="28"/>
          <w:szCs w:val="28"/>
          <w:lang w:val="sr"/>
        </w:rPr>
        <w:t>Уговор о деоби</w:t>
      </w:r>
    </w:p>
    <w:p w14:paraId="6FEBD201" w14:textId="77777777" w:rsidR="00B136C1" w:rsidRPr="001A2F6C" w:rsidRDefault="00B136C1" w:rsidP="00B136C1">
      <w:pPr>
        <w:ind w:left="66"/>
        <w:jc w:val="center"/>
        <w:rPr>
          <w:b/>
          <w:sz w:val="28"/>
          <w:szCs w:val="28"/>
          <w:lang w:val="sr"/>
        </w:rPr>
      </w:pPr>
    </w:p>
    <w:p w14:paraId="44E45D16" w14:textId="77777777" w:rsidR="00B136C1" w:rsidRPr="001A2F6C" w:rsidRDefault="00B136C1" w:rsidP="00B136C1">
      <w:pPr>
        <w:ind w:left="66"/>
        <w:jc w:val="both"/>
        <w:rPr>
          <w:lang w:val="sr"/>
        </w:rPr>
      </w:pPr>
      <w:r w:rsidRPr="001A2F6C">
        <w:rPr>
          <w:lang w:val="sr"/>
        </w:rPr>
        <w:t xml:space="preserve">Закључује се </w:t>
      </w:r>
      <w:r w:rsidRPr="001A2F6C">
        <w:rPr>
          <w:b/>
          <w:lang w:val="sr"/>
        </w:rPr>
        <w:t>после правоснажности решења о наслеђивању</w:t>
      </w:r>
      <w:r w:rsidRPr="001A2F6C">
        <w:rPr>
          <w:lang w:val="sr"/>
        </w:rPr>
        <w:t>, уколико се сви санаследници договоре око деобе заоставштине. Уколико се сви не договоре, може доћи до судске деобе.</w:t>
      </w:r>
    </w:p>
    <w:p w14:paraId="07D3DE0D" w14:textId="77777777" w:rsidR="00B136C1" w:rsidRPr="001A2F6C" w:rsidRDefault="00B136C1" w:rsidP="00B136C1">
      <w:pPr>
        <w:ind w:left="66"/>
        <w:jc w:val="both"/>
        <w:rPr>
          <w:lang w:val="sr"/>
        </w:rPr>
      </w:pPr>
      <w:r w:rsidRPr="001A2F6C">
        <w:rPr>
          <w:lang w:val="sr"/>
        </w:rPr>
        <w:t xml:space="preserve">У уговору се детаљно наводи коме шта припада. Непокретности се означавају катастарским ознакама, покретне </w:t>
      </w:r>
      <w:r>
        <w:rPr>
          <w:lang w:val="sr"/>
        </w:rPr>
        <w:t xml:space="preserve">ствари </w:t>
      </w:r>
      <w:r w:rsidRPr="001A2F6C">
        <w:rPr>
          <w:lang w:val="sr"/>
        </w:rPr>
        <w:t>према количини и врсти. У уговор се уносе и обавезе које падају на терет наследника, а из састава су пасиве заоставштине.</w:t>
      </w:r>
    </w:p>
    <w:p w14:paraId="65FA5005" w14:textId="77777777" w:rsidR="00B136C1" w:rsidRPr="001A2F6C" w:rsidRDefault="00B136C1" w:rsidP="00B136C1">
      <w:pPr>
        <w:ind w:left="66"/>
        <w:jc w:val="both"/>
        <w:rPr>
          <w:lang w:val="sr"/>
        </w:rPr>
      </w:pPr>
    </w:p>
    <w:p w14:paraId="4EDCAB9A" w14:textId="77777777" w:rsidR="00B136C1" w:rsidRPr="001A2F6C" w:rsidRDefault="00B136C1" w:rsidP="00B136C1">
      <w:pPr>
        <w:ind w:left="66"/>
        <w:jc w:val="both"/>
        <w:rPr>
          <w:lang w:val="de-DE"/>
        </w:rPr>
      </w:pPr>
      <w:r w:rsidRPr="001A2F6C">
        <w:rPr>
          <w:lang w:val="sr"/>
        </w:rPr>
        <w:t xml:space="preserve">Да би деоба била ваљана, правни посао који је прати мора да испуњава све услове за његову пуноважност. Питање форме није регулисано ЗОНом, али се сматрало да ако је предмет деобе непокретност, мора бити у писменој форми. Пошто је ово питање након увођења јавног бележништва било спорно, </w:t>
      </w:r>
      <w:r w:rsidRPr="001A2F6C">
        <w:rPr>
          <w:b/>
          <w:lang w:val="sr"/>
        </w:rPr>
        <w:t>Стручни савет јавнобележничке коморе 09.06.2016.</w:t>
      </w:r>
      <w:r w:rsidRPr="001A2F6C">
        <w:rPr>
          <w:lang w:val="sr"/>
        </w:rPr>
        <w:t xml:space="preserve"> дао је мишљење да је </w:t>
      </w:r>
      <w:r>
        <w:rPr>
          <w:b/>
          <w:lang w:val="sr"/>
        </w:rPr>
        <w:t>”</w:t>
      </w:r>
      <w:r w:rsidRPr="001A2F6C">
        <w:rPr>
          <w:rFonts w:cs="Helvetica"/>
          <w:b/>
          <w:color w:val="262626"/>
        </w:rPr>
        <w:t>Ugovor o fizičkoj deobi je ugovor na osnovu kog se stiče (isključivo) pravo svojine na nepokretnostima koje deobom nastaju, pa je u pitanju ugovor kojim se ostvaruje pravni promet nepokretnosti i zaključuje se u formi predviđenoj za ugovore o prometu nepokretnosti</w:t>
      </w:r>
      <w:r w:rsidRPr="001A2F6C">
        <w:rPr>
          <w:rFonts w:cs="Helvetica"/>
          <w:color w:val="262626"/>
        </w:rPr>
        <w:t xml:space="preserve">”. </w:t>
      </w:r>
      <w:r>
        <w:rPr>
          <w:rFonts w:cs="Helvetica"/>
          <w:color w:val="262626"/>
          <w:lang w:val="sr"/>
        </w:rPr>
        <w:t xml:space="preserve">У свом мишљењу, поред осталог, позивају се и на то да се Породичним законом за деобу заједничке имовине супружника предвиђа форма јавнобележнички потврђене исправе. </w:t>
      </w:r>
    </w:p>
    <w:p w14:paraId="02B02058" w14:textId="77777777" w:rsidR="00B136C1" w:rsidRPr="001A2F6C" w:rsidRDefault="00B136C1" w:rsidP="00B136C1">
      <w:pPr>
        <w:ind w:left="66"/>
        <w:jc w:val="both"/>
        <w:rPr>
          <w:lang w:val="sr"/>
        </w:rPr>
      </w:pPr>
    </w:p>
    <w:p w14:paraId="39D58AF0" w14:textId="77777777" w:rsidR="00B136C1" w:rsidRPr="001A2F6C" w:rsidRDefault="00B136C1" w:rsidP="00B136C1">
      <w:pPr>
        <w:ind w:left="66"/>
        <w:jc w:val="both"/>
        <w:rPr>
          <w:lang w:val="sr"/>
        </w:rPr>
      </w:pPr>
      <w:r>
        <w:rPr>
          <w:lang w:val="sr"/>
        </w:rPr>
        <w:t>Санаследници</w:t>
      </w:r>
      <w:r w:rsidRPr="001A2F6C">
        <w:rPr>
          <w:lang w:val="sr"/>
        </w:rPr>
        <w:t xml:space="preserve"> о деоби </w:t>
      </w:r>
      <w:r>
        <w:rPr>
          <w:lang w:val="sr"/>
        </w:rPr>
        <w:t xml:space="preserve">заоставштине </w:t>
      </w:r>
      <w:r w:rsidRPr="001A2F6C">
        <w:rPr>
          <w:lang w:val="sr"/>
        </w:rPr>
        <w:t>могу да се договоре и у току ост</w:t>
      </w:r>
      <w:r>
        <w:rPr>
          <w:lang w:val="sr"/>
        </w:rPr>
        <w:t>авинског поступка, на рочишту за расправљање заоставштине. Т</w:t>
      </w:r>
      <w:r w:rsidRPr="001A2F6C">
        <w:rPr>
          <w:lang w:val="sr"/>
        </w:rPr>
        <w:t>ај споразум, суд уноси у изреку решења о наслеђивању.</w:t>
      </w:r>
    </w:p>
    <w:p w14:paraId="503FF128" w14:textId="77777777" w:rsidR="00B136C1" w:rsidRDefault="00B136C1" w:rsidP="00B136C1">
      <w:pPr>
        <w:ind w:left="66"/>
        <w:jc w:val="center"/>
        <w:rPr>
          <w:b/>
          <w:sz w:val="28"/>
          <w:szCs w:val="28"/>
          <w:lang w:val="sr"/>
        </w:rPr>
      </w:pPr>
    </w:p>
    <w:p w14:paraId="40135F74" w14:textId="77777777" w:rsidR="00B136C1" w:rsidRPr="00EA5AAB" w:rsidRDefault="00B136C1" w:rsidP="00B136C1">
      <w:pPr>
        <w:ind w:left="66"/>
        <w:jc w:val="center"/>
        <w:rPr>
          <w:b/>
          <w:sz w:val="28"/>
          <w:szCs w:val="28"/>
          <w:lang w:val="de-DE"/>
        </w:rPr>
      </w:pPr>
    </w:p>
    <w:p w14:paraId="4241A967" w14:textId="77777777" w:rsidR="00B136C1" w:rsidRPr="00317588" w:rsidRDefault="00B136C1" w:rsidP="00B136C1">
      <w:pPr>
        <w:jc w:val="both"/>
        <w:rPr>
          <w:lang w:val="sr"/>
        </w:rPr>
      </w:pPr>
    </w:p>
    <w:p w14:paraId="6C0C9A19" w14:textId="77777777" w:rsidR="00280BBB" w:rsidRDefault="00280BBB"/>
    <w:sectPr w:rsidR="00280BBB" w:rsidSect="0026318C">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5C27A" w14:textId="77777777" w:rsidR="00B136C1" w:rsidRDefault="00B136C1" w:rsidP="00B136C1">
      <w:r>
        <w:separator/>
      </w:r>
    </w:p>
  </w:endnote>
  <w:endnote w:type="continuationSeparator" w:id="0">
    <w:p w14:paraId="3CAE70E0" w14:textId="77777777" w:rsidR="00B136C1" w:rsidRDefault="00B136C1" w:rsidP="00B1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BB536" w14:textId="77777777" w:rsidR="005B33F1" w:rsidRDefault="009F6E3B" w:rsidP="001952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73B814" w14:textId="77777777" w:rsidR="005B33F1" w:rsidRDefault="009F6E3B" w:rsidP="001952D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81189" w14:textId="77777777" w:rsidR="005B33F1" w:rsidRDefault="009F6E3B" w:rsidP="001952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1A59F17" w14:textId="77777777" w:rsidR="005B33F1" w:rsidRDefault="009F6E3B" w:rsidP="001952D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0AE70" w14:textId="77777777" w:rsidR="00B136C1" w:rsidRDefault="00B136C1" w:rsidP="00B136C1">
      <w:r>
        <w:separator/>
      </w:r>
    </w:p>
  </w:footnote>
  <w:footnote w:type="continuationSeparator" w:id="0">
    <w:p w14:paraId="1BC8CC38" w14:textId="77777777" w:rsidR="00B136C1" w:rsidRDefault="00B136C1" w:rsidP="00B136C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D3FDD"/>
    <w:multiLevelType w:val="hybridMultilevel"/>
    <w:tmpl w:val="5D864AD2"/>
    <w:lvl w:ilvl="0" w:tplc="51384EAA">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
    <w:nsid w:val="619B3071"/>
    <w:multiLevelType w:val="hybridMultilevel"/>
    <w:tmpl w:val="F448024A"/>
    <w:lvl w:ilvl="0" w:tplc="753ACA50">
      <w:start w:val="4"/>
      <w:numFmt w:val="bullet"/>
      <w:lvlText w:val="-"/>
      <w:lvlJc w:val="left"/>
      <w:pPr>
        <w:ind w:left="2260" w:hanging="360"/>
      </w:pPr>
      <w:rPr>
        <w:rFonts w:ascii="Times New Roman" w:eastAsiaTheme="minorEastAsia" w:hAnsi="Times New Roman" w:cs="Times New Roman" w:hint="default"/>
      </w:rPr>
    </w:lvl>
    <w:lvl w:ilvl="1" w:tplc="16FE51AC">
      <w:numFmt w:val="bullet"/>
      <w:lvlText w:val="–"/>
      <w:lvlJc w:val="left"/>
      <w:pPr>
        <w:ind w:left="2980" w:hanging="360"/>
      </w:pPr>
      <w:rPr>
        <w:rFonts w:ascii="Cambria" w:eastAsiaTheme="minorEastAsia" w:hAnsi="Cambria" w:cs="Times"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hint="default"/>
      </w:rPr>
    </w:lvl>
    <w:lvl w:ilvl="8" w:tplc="04090005" w:tentative="1">
      <w:start w:val="1"/>
      <w:numFmt w:val="bullet"/>
      <w:lvlText w:val=""/>
      <w:lvlJc w:val="left"/>
      <w:pPr>
        <w:ind w:left="80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6C1"/>
    <w:rsid w:val="0026318C"/>
    <w:rsid w:val="00280BBB"/>
    <w:rsid w:val="009F6E3B"/>
    <w:rsid w:val="00B13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78B3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6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6C1"/>
    <w:pPr>
      <w:ind w:left="720"/>
      <w:contextualSpacing/>
    </w:pPr>
  </w:style>
  <w:style w:type="paragraph" w:styleId="Footer">
    <w:name w:val="footer"/>
    <w:basedOn w:val="Normal"/>
    <w:link w:val="FooterChar"/>
    <w:uiPriority w:val="99"/>
    <w:unhideWhenUsed/>
    <w:rsid w:val="00B136C1"/>
    <w:pPr>
      <w:tabs>
        <w:tab w:val="center" w:pos="4320"/>
        <w:tab w:val="right" w:pos="8640"/>
      </w:tabs>
    </w:pPr>
  </w:style>
  <w:style w:type="character" w:customStyle="1" w:styleId="FooterChar">
    <w:name w:val="Footer Char"/>
    <w:basedOn w:val="DefaultParagraphFont"/>
    <w:link w:val="Footer"/>
    <w:uiPriority w:val="99"/>
    <w:rsid w:val="00B136C1"/>
  </w:style>
  <w:style w:type="character" w:styleId="PageNumber">
    <w:name w:val="page number"/>
    <w:basedOn w:val="DefaultParagraphFont"/>
    <w:uiPriority w:val="99"/>
    <w:semiHidden/>
    <w:unhideWhenUsed/>
    <w:rsid w:val="00B136C1"/>
  </w:style>
  <w:style w:type="paragraph" w:styleId="FootnoteText">
    <w:name w:val="footnote text"/>
    <w:basedOn w:val="Normal"/>
    <w:link w:val="FootnoteTextChar"/>
    <w:autoRedefine/>
    <w:uiPriority w:val="99"/>
    <w:unhideWhenUsed/>
    <w:qFormat/>
    <w:rsid w:val="00B136C1"/>
    <w:pPr>
      <w:ind w:firstLine="720"/>
      <w:jc w:val="both"/>
    </w:pPr>
    <w:rPr>
      <w:rFonts w:ascii="Times New Roman" w:eastAsia="Times New Roman" w:hAnsi="Times New Roman" w:cs="Times New Roman"/>
      <w:noProof/>
      <w:sz w:val="20"/>
      <w:szCs w:val="20"/>
      <w:shd w:val="clear" w:color="auto" w:fill="FFFFFF"/>
      <w:lang w:eastAsia="x-none"/>
    </w:rPr>
  </w:style>
  <w:style w:type="character" w:customStyle="1" w:styleId="FootnoteTextChar">
    <w:name w:val="Footnote Text Char"/>
    <w:basedOn w:val="DefaultParagraphFont"/>
    <w:link w:val="FootnoteText"/>
    <w:uiPriority w:val="99"/>
    <w:rsid w:val="00B136C1"/>
    <w:rPr>
      <w:rFonts w:ascii="Times New Roman" w:eastAsia="Times New Roman" w:hAnsi="Times New Roman" w:cs="Times New Roman"/>
      <w:noProof/>
      <w:sz w:val="20"/>
      <w:szCs w:val="20"/>
      <w:lang w:eastAsia="x-none"/>
    </w:rPr>
  </w:style>
  <w:style w:type="character" w:styleId="FootnoteReference">
    <w:name w:val="footnote reference"/>
    <w:uiPriority w:val="99"/>
    <w:unhideWhenUsed/>
    <w:qFormat/>
    <w:rsid w:val="00B136C1"/>
    <w:rPr>
      <w:vertAlign w:val="superscript"/>
    </w:rPr>
  </w:style>
  <w:style w:type="paragraph" w:styleId="NormalWeb">
    <w:name w:val="Normal (Web)"/>
    <w:basedOn w:val="Normal"/>
    <w:uiPriority w:val="99"/>
    <w:unhideWhenUsed/>
    <w:rsid w:val="00B136C1"/>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6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6C1"/>
    <w:pPr>
      <w:ind w:left="720"/>
      <w:contextualSpacing/>
    </w:pPr>
  </w:style>
  <w:style w:type="paragraph" w:styleId="Footer">
    <w:name w:val="footer"/>
    <w:basedOn w:val="Normal"/>
    <w:link w:val="FooterChar"/>
    <w:uiPriority w:val="99"/>
    <w:unhideWhenUsed/>
    <w:rsid w:val="00B136C1"/>
    <w:pPr>
      <w:tabs>
        <w:tab w:val="center" w:pos="4320"/>
        <w:tab w:val="right" w:pos="8640"/>
      </w:tabs>
    </w:pPr>
  </w:style>
  <w:style w:type="character" w:customStyle="1" w:styleId="FooterChar">
    <w:name w:val="Footer Char"/>
    <w:basedOn w:val="DefaultParagraphFont"/>
    <w:link w:val="Footer"/>
    <w:uiPriority w:val="99"/>
    <w:rsid w:val="00B136C1"/>
  </w:style>
  <w:style w:type="character" w:styleId="PageNumber">
    <w:name w:val="page number"/>
    <w:basedOn w:val="DefaultParagraphFont"/>
    <w:uiPriority w:val="99"/>
    <w:semiHidden/>
    <w:unhideWhenUsed/>
    <w:rsid w:val="00B136C1"/>
  </w:style>
  <w:style w:type="paragraph" w:styleId="FootnoteText">
    <w:name w:val="footnote text"/>
    <w:basedOn w:val="Normal"/>
    <w:link w:val="FootnoteTextChar"/>
    <w:autoRedefine/>
    <w:uiPriority w:val="99"/>
    <w:unhideWhenUsed/>
    <w:qFormat/>
    <w:rsid w:val="00B136C1"/>
    <w:pPr>
      <w:ind w:firstLine="720"/>
      <w:jc w:val="both"/>
    </w:pPr>
    <w:rPr>
      <w:rFonts w:ascii="Times New Roman" w:eastAsia="Times New Roman" w:hAnsi="Times New Roman" w:cs="Times New Roman"/>
      <w:noProof/>
      <w:sz w:val="20"/>
      <w:szCs w:val="20"/>
      <w:shd w:val="clear" w:color="auto" w:fill="FFFFFF"/>
      <w:lang w:eastAsia="x-none"/>
    </w:rPr>
  </w:style>
  <w:style w:type="character" w:customStyle="1" w:styleId="FootnoteTextChar">
    <w:name w:val="Footnote Text Char"/>
    <w:basedOn w:val="DefaultParagraphFont"/>
    <w:link w:val="FootnoteText"/>
    <w:uiPriority w:val="99"/>
    <w:rsid w:val="00B136C1"/>
    <w:rPr>
      <w:rFonts w:ascii="Times New Roman" w:eastAsia="Times New Roman" w:hAnsi="Times New Roman" w:cs="Times New Roman"/>
      <w:noProof/>
      <w:sz w:val="20"/>
      <w:szCs w:val="20"/>
      <w:lang w:eastAsia="x-none"/>
    </w:rPr>
  </w:style>
  <w:style w:type="character" w:styleId="FootnoteReference">
    <w:name w:val="footnote reference"/>
    <w:uiPriority w:val="99"/>
    <w:unhideWhenUsed/>
    <w:qFormat/>
    <w:rsid w:val="00B136C1"/>
    <w:rPr>
      <w:vertAlign w:val="superscript"/>
    </w:rPr>
  </w:style>
  <w:style w:type="paragraph" w:styleId="NormalWeb">
    <w:name w:val="Normal (Web)"/>
    <w:basedOn w:val="Normal"/>
    <w:uiPriority w:val="99"/>
    <w:unhideWhenUsed/>
    <w:rsid w:val="00B136C1"/>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2155</Words>
  <Characters>12289</Characters>
  <Application>Microsoft Macintosh Word</Application>
  <DocSecurity>0</DocSecurity>
  <Lines>102</Lines>
  <Paragraphs>28</Paragraphs>
  <ScaleCrop>false</ScaleCrop>
  <Company/>
  <LinksUpToDate>false</LinksUpToDate>
  <CharactersWithSpaces>14416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dc:creator>
  <cp:keywords/>
  <dc:description/>
  <cp:lastModifiedBy>Dragica</cp:lastModifiedBy>
  <cp:revision>2</cp:revision>
  <dcterms:created xsi:type="dcterms:W3CDTF">2020-06-17T16:33:00Z</dcterms:created>
  <dcterms:modified xsi:type="dcterms:W3CDTF">2020-06-17T16:35:00Z</dcterms:modified>
</cp:coreProperties>
</file>