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89539C" w:rsidRPr="00A50C0A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813F66">
              <w:rPr>
                <w:rFonts w:eastAsia="Times New Roman"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/>
              </w:rPr>
              <w:t>Назив предмета</w:t>
            </w: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ru-RU"/>
              </w:rPr>
              <w:t xml:space="preserve">              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/>
              </w:rPr>
              <w:t>Развитак права</w:t>
            </w:r>
          </w:p>
        </w:tc>
      </w:tr>
      <w:tr w:rsidR="0089539C" w:rsidRPr="00795F99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9539C" w:rsidRPr="009E3E43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89539C" w:rsidRPr="009E3E43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:rsidR="0089539C" w:rsidRPr="00813F66" w:rsidRDefault="0089539C" w:rsidP="001C2ED0">
            <w:pPr>
              <w:pStyle w:val="Heading4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1064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eastAsia="Times New Roman" w:cs="Arial"/>
                <w:i w:val="0"/>
                <w:iCs w:val="0"/>
                <w:lang w:val="sr-Cyrl-CS"/>
              </w:rPr>
              <w:t xml:space="preserve">             </w:t>
            </w:r>
            <w:r w:rsidRPr="00813F66">
              <w:rPr>
                <w:rFonts w:eastAsia="Times New Roman" w:cs="Arial"/>
                <w:i w:val="0"/>
                <w:iCs w:val="0"/>
              </w:rPr>
              <w:t>I</w:t>
            </w:r>
          </w:p>
        </w:tc>
        <w:tc>
          <w:tcPr>
            <w:tcW w:w="987" w:type="pct"/>
            <w:vAlign w:val="center"/>
          </w:tcPr>
          <w:p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:rsidR="0089539C" w:rsidRPr="00C20828" w:rsidRDefault="0089539C" w:rsidP="001C2ED0">
            <w:pPr>
              <w:pStyle w:val="Heading3"/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  <w:t>3+1</w:t>
            </w: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89539C" w:rsidRPr="009E3E43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la</w:t>
            </w:r>
            <w:r>
              <w:rPr>
                <w:sz w:val="22"/>
                <w:szCs w:val="22"/>
              </w:rPr>
              <w:t>w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student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in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present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da</w:t>
            </w:r>
            <w:r w:rsidRPr="00B33E35">
              <w:rPr>
                <w:sz w:val="22"/>
                <w:szCs w:val="22"/>
              </w:rPr>
              <w:t>y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should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like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ancient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God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on his profession</w:t>
            </w:r>
            <w:proofErr w:type="gramStart"/>
            <w:r w:rsidRPr="00EB3311">
              <w:rPr>
                <w:sz w:val="22"/>
                <w:szCs w:val="22"/>
              </w:rPr>
              <w:t>.“</w:t>
            </w:r>
            <w:proofErr w:type="gramEnd"/>
            <w:r w:rsidRPr="00EB3311">
              <w:rPr>
                <w:sz w:val="22"/>
                <w:szCs w:val="22"/>
              </w:rPr>
              <w:t xml:space="preserve"> </w:t>
            </w:r>
          </w:p>
        </w:tc>
      </w:tr>
      <w:tr w:rsidR="0089539C" w:rsidRPr="00A50C0A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A50C0A" w:rsidTr="001C2ED0">
        <w:trPr>
          <w:trHeight w:val="506"/>
        </w:trPr>
        <w:tc>
          <w:tcPr>
            <w:tcW w:w="2268" w:type="dxa"/>
            <w:vAlign w:val="center"/>
          </w:tcPr>
          <w:p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89539C" w:rsidRPr="009E3E43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:rsidR="0089539C" w:rsidRPr="00F92D3E" w:rsidRDefault="0089539C" w:rsidP="001C2ED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колоквијум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 xml:space="preserve">Magna Carta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Владар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феудално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представништво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:rsidR="0089539C" w:rsidRPr="00C119C5" w:rsidRDefault="0089539C" w:rsidP="001C2ED0">
            <w:pPr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:rsidR="0089539C" w:rsidRPr="00C119C5" w:rsidRDefault="0089539C" w:rsidP="00912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912684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:rsidTr="001C2ED0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2026"/>
        <w:gridCol w:w="1330"/>
        <w:gridCol w:w="3070"/>
        <w:gridCol w:w="1446"/>
      </w:tblGrid>
      <w:tr w:rsidR="0089539C" w:rsidRPr="009E3E43" w:rsidTr="00DF1BA9">
        <w:tc>
          <w:tcPr>
            <w:tcW w:w="8905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9E3E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9539C" w:rsidRPr="009E3E43" w:rsidTr="00DF1BA9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4E23D7" w:rsidTr="00DF1BA9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gridSpan w:val="3"/>
            <w:tcBorders>
              <w:top w:val="single" w:sz="6" w:space="0" w:color="000000"/>
            </w:tcBorders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446" w:type="dxa"/>
            <w:tcBorders>
              <w:top w:val="single" w:sz="6" w:space="0" w:color="000000"/>
            </w:tcBorders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9539C" w:rsidRPr="006050F4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  <w:gridSpan w:val="3"/>
          </w:tcPr>
          <w:p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4E23D7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  <w:gridSpan w:val="3"/>
          </w:tcPr>
          <w:p w:rsidR="0089539C" w:rsidRPr="00C119C5" w:rsidRDefault="0089539C" w:rsidP="001C2ED0">
            <w:pPr>
              <w:jc w:val="both"/>
              <w:rPr>
                <w:b/>
                <w:bCs/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  <w:gridSpan w:val="3"/>
          </w:tcPr>
          <w:p w:rsidR="0089539C" w:rsidRPr="00051138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револуције; Апсолутна монархија; Правни развитак модерне Енглеске</w:t>
            </w:r>
            <w:r w:rsidRPr="00232368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232368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Кривично право и судски поступак у Атини; 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>Magna</w:t>
            </w:r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Carta</w:t>
            </w:r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>; Владар и феудално представништво;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23236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23236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232368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  <w:gridSpan w:val="3"/>
          </w:tcPr>
          <w:p w:rsidR="0089539C" w:rsidRPr="00C22912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74581E" w:rsidTr="00DF1BA9">
        <w:tc>
          <w:tcPr>
            <w:tcW w:w="1033" w:type="dxa"/>
            <w:vAlign w:val="center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  <w:gridSpan w:val="3"/>
          </w:tcPr>
          <w:p w:rsidR="0089539C" w:rsidRPr="0074581E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 </w:t>
            </w:r>
            <w:r>
              <w:rPr>
                <w:sz w:val="22"/>
                <w:szCs w:val="22"/>
                <w:lang w:val="ru-RU"/>
              </w:rPr>
              <w:t>Уписивање предиспитних поена.</w:t>
            </w:r>
          </w:p>
        </w:tc>
        <w:tc>
          <w:tcPr>
            <w:tcW w:w="1446" w:type="dxa"/>
          </w:tcPr>
          <w:p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89539C" w:rsidRPr="009E3E43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89539C" w:rsidRPr="00A50C0A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3"/>
          </w:tcPr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:rsidR="0089539C" w:rsidRDefault="0089539C" w:rsidP="001C2ED0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lastRenderedPageBreak/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:rsidR="0089539C" w:rsidRPr="0093471D" w:rsidRDefault="0089539C" w:rsidP="001C2ED0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:rsidR="0089539C" w:rsidRDefault="0089539C" w:rsidP="001C2ED0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</w:t>
            </w:r>
            <w:r w:rsidR="00EB2621">
              <w:rPr>
                <w:b/>
                <w:bCs/>
                <w:sz w:val="22"/>
                <w:szCs w:val="22"/>
                <w:lang w:val="sr-Cyrl-CS"/>
              </w:rPr>
              <w:t>влачењем испитних питања) – до 7</w:t>
            </w:r>
            <w:r>
              <w:rPr>
                <w:b/>
                <w:bCs/>
                <w:sz w:val="22"/>
                <w:szCs w:val="22"/>
                <w:lang w:val="sr-Cyrl-CS"/>
              </w:rPr>
              <w:t>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89539C" w:rsidRPr="00232368" w:rsidRDefault="0089539C" w:rsidP="00D520CC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 xml:space="preserve">   Наставу и испите на предмету обавља предметни наставник </w:t>
            </w:r>
            <w:r w:rsidR="00ED2C7A">
              <w:rPr>
                <w:lang w:val="sr-Cyrl-CS"/>
              </w:rPr>
              <w:t>проф</w:t>
            </w:r>
            <w:r>
              <w:rPr>
                <w:lang w:val="sr-Cyrl-CS"/>
              </w:rPr>
              <w:t xml:space="preserve">. др Зоран Чворовић, а у случају потребе </w:t>
            </w:r>
            <w:r w:rsidR="00D520CC">
              <w:rPr>
                <w:lang w:val="sr-Cyrl-CS"/>
              </w:rPr>
              <w:t>доц</w:t>
            </w:r>
            <w:r>
              <w:rPr>
                <w:lang w:val="sr-Cyrl-CS"/>
              </w:rPr>
              <w:t xml:space="preserve">. др </w:t>
            </w:r>
            <w:r w:rsidR="00D520CC">
              <w:rPr>
                <w:lang w:val="sr-Cyrl-CS"/>
              </w:rPr>
              <w:t>Биљана Гавриловић</w:t>
            </w:r>
            <w:r>
              <w:rPr>
                <w:lang w:val="sr-Cyrl-CS"/>
              </w:rPr>
              <w:t>.</w:t>
            </w:r>
            <w:r w:rsidRPr="00232368">
              <w:rPr>
                <w:color w:val="FF0000"/>
                <w:lang w:val="sr-Cyrl-CS"/>
              </w:rPr>
              <w:t xml:space="preserve"> </w:t>
            </w:r>
          </w:p>
        </w:tc>
      </w:tr>
      <w:tr w:rsidR="0089539C" w:rsidRPr="00A50C0A" w:rsidTr="00DF1BA9">
        <w:trPr>
          <w:trHeight w:val="347"/>
        </w:trPr>
        <w:tc>
          <w:tcPr>
            <w:tcW w:w="3059" w:type="dxa"/>
            <w:gridSpan w:val="2"/>
            <w:vMerge w:val="restart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4516" w:type="dxa"/>
            <w:gridSpan w:val="2"/>
          </w:tcPr>
          <w:p w:rsidR="0089539C" w:rsidRPr="007955E7" w:rsidRDefault="0089539C" w:rsidP="00DF1BA9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="00DF1BA9"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89539C" w:rsidRPr="00A50C0A" w:rsidTr="00DF1BA9">
        <w:trPr>
          <w:trHeight w:val="346"/>
        </w:trPr>
        <w:tc>
          <w:tcPr>
            <w:tcW w:w="3059" w:type="dxa"/>
            <w:gridSpan w:val="2"/>
            <w:vMerge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:rsidR="0089539C" w:rsidRPr="009E3E43" w:rsidRDefault="0089539C" w:rsidP="001C2ED0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4516" w:type="dxa"/>
            <w:gridSpan w:val="2"/>
          </w:tcPr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800 година </w:t>
            </w:r>
            <w:r w:rsidRPr="009340D7">
              <w:rPr>
                <w:sz w:val="22"/>
                <w:szCs w:val="22"/>
              </w:rPr>
              <w:t>Magna</w:t>
            </w:r>
            <w:r w:rsidRPr="009340D7">
              <w:rPr>
                <w:sz w:val="22"/>
                <w:szCs w:val="22"/>
                <w:lang w:val="sr-Cyrl-CS"/>
              </w:rPr>
              <w:t xml:space="preserve"> </w:t>
            </w:r>
            <w:r w:rsidRPr="009340D7">
              <w:rPr>
                <w:sz w:val="22"/>
                <w:szCs w:val="22"/>
              </w:rPr>
              <w:t>Carta</w:t>
            </w:r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 w:val="sr-Cyrl-RS"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 w:val="sr-Cyrl-RS"/>
              </w:rPr>
              <w:t>, бр. 1, 2012.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9340D7">
              <w:rPr>
                <w:i/>
                <w:sz w:val="22"/>
                <w:szCs w:val="22"/>
              </w:rPr>
              <w:t>Crimen</w:t>
            </w:r>
            <w:proofErr w:type="spellEnd"/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 w:val="sr-Cyrl-RS"/>
              </w:rPr>
              <w:t>Усклађивање правног система Србије са стандардима ЕУ, књ. 2, Крагујевац, 2014.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 w:val="sr-Cyrl-RS"/>
              </w:rPr>
              <w:t>Право и православље</w:t>
            </w:r>
            <w:r w:rsidRPr="009340D7">
              <w:rPr>
                <w:sz w:val="22"/>
                <w:szCs w:val="22"/>
                <w:lang w:val="sr-Cyrl-RS"/>
              </w:rPr>
              <w:t>, Београд, 2014.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:rsidR="0089539C" w:rsidRPr="009340D7" w:rsidRDefault="0089539C" w:rsidP="001C2ED0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:rsidR="0089539C" w:rsidRPr="00C67B4C" w:rsidRDefault="0089539C" w:rsidP="001C2ED0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89539C" w:rsidRPr="00D520CC" w:rsidTr="00DF1BA9">
        <w:trPr>
          <w:trHeight w:val="690"/>
        </w:trPr>
        <w:tc>
          <w:tcPr>
            <w:tcW w:w="3059" w:type="dxa"/>
            <w:gridSpan w:val="2"/>
            <w:vAlign w:val="center"/>
          </w:tcPr>
          <w:p w:rsidR="0089539C" w:rsidRPr="009E3E43" w:rsidRDefault="0089539C" w:rsidP="001C2ED0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46" w:type="dxa"/>
            <w:gridSpan w:val="3"/>
          </w:tcPr>
          <w:p w:rsidR="0089539C" w:rsidRPr="00A97DD8" w:rsidRDefault="00A250BC" w:rsidP="001C2ED0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</w:t>
            </w:r>
            <w:r w:rsidR="0089539C" w:rsidRPr="00A250BC">
              <w:rPr>
                <w:b/>
                <w:lang w:val="sr-Cyrl-CS"/>
              </w:rPr>
              <w:t xml:space="preserve"> др Зоран Чворовић</w:t>
            </w:r>
          </w:p>
          <w:p w:rsidR="0089539C" w:rsidRPr="00A97DD8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:rsidR="0089539C" w:rsidRPr="00A97DD8" w:rsidRDefault="00A50C0A" w:rsidP="001C2ED0">
            <w:pPr>
              <w:rPr>
                <w:lang w:val="sr-Cyrl-CS"/>
              </w:rPr>
            </w:pPr>
            <w:r>
              <w:rPr>
                <w:lang w:val="sr-Cyrl-CS"/>
              </w:rPr>
              <w:t>тел: 034 306 537</w:t>
            </w:r>
          </w:p>
          <w:p w:rsidR="0089539C" w:rsidRDefault="0089539C" w:rsidP="001C2ED0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 w:val="sr-Cyrl-RS"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:rsidR="00DF1BA9" w:rsidRPr="00A50C0A" w:rsidRDefault="00317C6E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b/>
                <w:sz w:val="22"/>
                <w:szCs w:val="22"/>
                <w:lang w:val="sr-Cyrl-CS"/>
              </w:rPr>
            </w:pPr>
            <w:r w:rsidRPr="00A50C0A">
              <w:rPr>
                <w:b/>
                <w:sz w:val="22"/>
                <w:szCs w:val="22"/>
                <w:lang w:val="sr-Cyrl-CS"/>
              </w:rPr>
              <w:t>асистент:</w:t>
            </w:r>
            <w:r w:rsidR="00DF1BA9" w:rsidRPr="00A50C0A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A50C0A">
              <w:rPr>
                <w:b/>
                <w:sz w:val="22"/>
                <w:szCs w:val="22"/>
                <w:lang w:val="sr-Cyrl-CS"/>
              </w:rPr>
              <w:t>Милица Маринковић</w:t>
            </w:r>
          </w:p>
          <w:p w:rsidR="00DF1BA9" w:rsidRPr="006105DC" w:rsidRDefault="00317C6E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кабинет: Б202</w:t>
            </w:r>
          </w:p>
          <w:p w:rsidR="00DF1BA9" w:rsidRPr="006105DC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 w:rsidR="00A50C0A">
              <w:rPr>
                <w:sz w:val="22"/>
                <w:szCs w:val="22"/>
                <w:lang w:val="sr-Cyrl-CS"/>
              </w:rPr>
              <w:t>034 306 530</w:t>
            </w:r>
          </w:p>
          <w:p w:rsidR="00C20828" w:rsidRPr="00DF1BA9" w:rsidRDefault="00DF1BA9" w:rsidP="00DF1BA9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>консултације:</w:t>
            </w:r>
            <w:r w:rsidR="00A250BC" w:rsidRPr="006105DC">
              <w:rPr>
                <w:sz w:val="22"/>
                <w:szCs w:val="22"/>
                <w:lang w:val="sr-Cyrl-CS"/>
              </w:rPr>
              <w:t xml:space="preserve"> четвртак 10 00 – 12 00</w:t>
            </w:r>
          </w:p>
        </w:tc>
      </w:tr>
    </w:tbl>
    <w:p w:rsidR="0089539C" w:rsidRPr="009340D7" w:rsidRDefault="0089539C" w:rsidP="0089539C">
      <w:pPr>
        <w:rPr>
          <w:lang w:val="ru-RU"/>
        </w:rPr>
      </w:pPr>
    </w:p>
    <w:p w:rsidR="0089539C" w:rsidRDefault="0089539C" w:rsidP="0089539C">
      <w:pPr>
        <w:jc w:val="center"/>
        <w:rPr>
          <w:b/>
          <w:bCs/>
          <w:lang w:val="ru-RU"/>
        </w:rPr>
      </w:pPr>
    </w:p>
    <w:p w:rsidR="00D71DDA" w:rsidRDefault="00D71DDA" w:rsidP="0089539C">
      <w:pPr>
        <w:jc w:val="center"/>
        <w:rPr>
          <w:b/>
          <w:bCs/>
          <w:lang w:val="ru-RU"/>
        </w:rPr>
      </w:pPr>
    </w:p>
    <w:p w:rsidR="00D71DDA" w:rsidRDefault="00D71DDA" w:rsidP="0089539C">
      <w:pPr>
        <w:jc w:val="center"/>
        <w:rPr>
          <w:b/>
          <w:bCs/>
          <w:lang w:val="ru-RU"/>
        </w:rPr>
      </w:pPr>
    </w:p>
    <w:p w:rsidR="00710973" w:rsidRDefault="0089539C" w:rsidP="0089539C">
      <w:pPr>
        <w:tabs>
          <w:tab w:val="left" w:pos="3003"/>
        </w:tabs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710973" w:rsidRDefault="00710973" w:rsidP="0089539C">
      <w:pPr>
        <w:tabs>
          <w:tab w:val="left" w:pos="3003"/>
        </w:tabs>
        <w:rPr>
          <w:b/>
          <w:bCs/>
          <w:lang w:val="ru-RU"/>
        </w:rPr>
      </w:pPr>
    </w:p>
    <w:p w:rsidR="0089539C" w:rsidRDefault="0089539C" w:rsidP="0089539C">
      <w:pPr>
        <w:tabs>
          <w:tab w:val="left" w:pos="3003"/>
        </w:tabs>
        <w:rPr>
          <w:lang w:val="ru-RU"/>
        </w:rPr>
      </w:pPr>
      <w:r w:rsidRPr="00DE4AD9">
        <w:rPr>
          <w:b/>
          <w:bCs/>
          <w:lang w:val="ru-RU"/>
        </w:rPr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:rsidR="0089539C" w:rsidRDefault="0089539C" w:rsidP="0089539C">
      <w:pPr>
        <w:jc w:val="both"/>
        <w:rPr>
          <w:lang w:val="sr-Cyrl-CS"/>
        </w:rPr>
      </w:pPr>
    </w:p>
    <w:p w:rsidR="0089539C" w:rsidRPr="00A250BC" w:rsidRDefault="0089539C" w:rsidP="0089539C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r>
        <w:rPr>
          <w:u w:val="single"/>
          <w:lang w:val="sr-Cyrl-RS"/>
        </w:rPr>
        <w:t>науке о Развитку права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proofErr w:type="spellStart"/>
      <w:r>
        <w:rPr>
          <w:u w:val="single"/>
        </w:rPr>
        <w:t>правноисторијски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извори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Настанак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Примитивно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Грађанско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Кривично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Законици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Месопотамије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пре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Хамурабија</w:t>
      </w:r>
      <w:proofErr w:type="spellEnd"/>
      <w:r>
        <w:rPr>
          <w:u w:val="single"/>
        </w:rPr>
        <w:t>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Хамурабијев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законик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уопште</w:t>
      </w:r>
      <w:proofErr w:type="spellEnd"/>
      <w:r>
        <w:rPr>
          <w:u w:val="single"/>
        </w:rPr>
        <w:t>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Имовинско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Судски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поступак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Статусно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у </w:t>
      </w:r>
      <w:proofErr w:type="spellStart"/>
      <w:r w:rsidRPr="00AD4BC9">
        <w:rPr>
          <w:u w:val="single"/>
        </w:rPr>
        <w:t>Спарти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Спарте</w:t>
      </w:r>
      <w:proofErr w:type="spellEnd"/>
    </w:p>
    <w:p w:rsidR="0089539C" w:rsidRPr="009A5DBE" w:rsidRDefault="0089539C" w:rsidP="0089539C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Хеленистичке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права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spacing w:line="40" w:lineRule="exact"/>
        <w:jc w:val="both"/>
      </w:pPr>
      <w:r>
        <w:t>_________________________________________________________________</w:t>
      </w:r>
    </w:p>
    <w:p w:rsidR="0089539C" w:rsidRPr="00AD4BC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</w:rPr>
      </w:pPr>
      <w:proofErr w:type="spellStart"/>
      <w:r w:rsidRPr="00AD4BC9">
        <w:rPr>
          <w:b/>
          <w:bCs/>
        </w:rPr>
        <w:t>Законик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Визиготске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Краљевине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  <w:lang w:val="ru-RU"/>
        </w:rPr>
        <w:t>Др</w:t>
      </w:r>
      <w:r>
        <w:rPr>
          <w:u w:val="single"/>
        </w:rPr>
        <w:t>ж</w:t>
      </w:r>
      <w:r>
        <w:rPr>
          <w:u w:val="single"/>
          <w:lang w:val="ru-RU"/>
        </w:rPr>
        <w:t>авно уре</w:t>
      </w:r>
      <w:r>
        <w:rPr>
          <w:u w:val="single"/>
        </w:rPr>
        <w:t>ђ</w:t>
      </w:r>
      <w:r>
        <w:rPr>
          <w:u w:val="single"/>
          <w:lang w:val="ru-RU"/>
        </w:rPr>
        <w:t>ење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Франачке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Франачке</w:t>
      </w:r>
      <w:proofErr w:type="spellEnd"/>
      <w:r w:rsidRPr="00AD4BC9">
        <w:rPr>
          <w:b/>
          <w:bCs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Англосаса</w:t>
      </w:r>
      <w:proofErr w:type="spellEnd"/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Еклога</w:t>
      </w:r>
      <w:proofErr w:type="spellEnd"/>
      <w:r w:rsidRPr="00AD4BC9">
        <w:rPr>
          <w:b/>
          <w:bCs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Папска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Шеријатско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Кијевска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Феудализам</w:t>
      </w:r>
      <w:proofErr w:type="spellEnd"/>
      <w:r>
        <w:rPr>
          <w:u w:val="single"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Magna Carta </w:t>
      </w:r>
      <w:proofErr w:type="spellStart"/>
      <w:r w:rsidRPr="00AD4BC9">
        <w:rPr>
          <w:b/>
          <w:bCs/>
        </w:rPr>
        <w:t>Libertatum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Сталежи</w:t>
      </w:r>
      <w:proofErr w:type="spellEnd"/>
      <w:r>
        <w:rPr>
          <w:u w:val="single"/>
          <w:lang w:val="ru-RU"/>
        </w:rPr>
        <w:t xml:space="preserve"> и г</w:t>
      </w:r>
      <w:proofErr w:type="spellStart"/>
      <w:r>
        <w:rPr>
          <w:u w:val="single"/>
        </w:rPr>
        <w:t>радови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феудализму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Владар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феудално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представништво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Реципирано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римско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Црквено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lastRenderedPageBreak/>
        <w:t>Constitutio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Criminalis</w:t>
      </w:r>
      <w:proofErr w:type="spellEnd"/>
      <w:r w:rsidRPr="00AD4BC9">
        <w:rPr>
          <w:b/>
          <w:bCs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AD4BC9">
            <w:rPr>
              <w:b/>
              <w:bCs/>
            </w:rPr>
            <w:t>Carolina</w:t>
          </w:r>
        </w:smartTag>
      </w:smartTag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Развитак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енглеског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</w:p>
    <w:p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Трговачко</w:t>
      </w:r>
      <w:proofErr w:type="spellEnd"/>
      <w:r w:rsidRPr="00B33E88">
        <w:t xml:space="preserve"> </w:t>
      </w:r>
      <w:proofErr w:type="spellStart"/>
      <w:r w:rsidRPr="00B33E88">
        <w:t>право</w:t>
      </w:r>
      <w:proofErr w:type="spellEnd"/>
      <w:r w:rsidRPr="00B33E88">
        <w:t xml:space="preserve"> у </w:t>
      </w:r>
      <w:proofErr w:type="spellStart"/>
      <w:r w:rsidRPr="00B33E88">
        <w:t>феудализму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Грађанско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Порота</w:t>
      </w:r>
      <w:proofErr w:type="spellEnd"/>
    </w:p>
    <w:p w:rsidR="0089539C" w:rsidRDefault="0089539C" w:rsidP="0089539C">
      <w:pPr>
        <w:spacing w:line="40" w:lineRule="exact"/>
        <w:jc w:val="both"/>
      </w:pPr>
      <w:r>
        <w:t>_______________________________________________________________</w:t>
      </w:r>
    </w:p>
    <w:p w:rsidR="0089539C" w:rsidRPr="00DE4AD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Апсолутна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монархија</w:t>
      </w:r>
      <w:proofErr w:type="spellEnd"/>
      <w:r>
        <w:rPr>
          <w:u w:val="single"/>
          <w:lang w:val="ru-RU"/>
        </w:rPr>
        <w:t xml:space="preserve"> и просвећени апсолутизам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Инструмент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владавине</w:t>
      </w:r>
      <w:proofErr w:type="spellEnd"/>
      <w:r w:rsidRPr="00AD4BC9">
        <w:rPr>
          <w:u w:val="single"/>
        </w:rPr>
        <w:t xml:space="preserve">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</w:rPr>
        <w:t>Habeas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Corpus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Act</w:t>
      </w:r>
      <w:r w:rsidR="006C6D94">
        <w:rPr>
          <w:b/>
          <w:bCs/>
          <w:lang w:val="ru-RU"/>
        </w:rPr>
        <w:t xml:space="preserve"> и правило </w:t>
      </w:r>
      <w:r w:rsidR="006C6D94">
        <w:rPr>
          <w:b/>
          <w:bCs/>
          <w:lang w:val="sr-Cyrl-RS"/>
        </w:rPr>
        <w:t>„човекова кућа је његов замак“</w:t>
      </w:r>
    </w:p>
    <w:p w:rsidR="0089539C" w:rsidRDefault="0089539C" w:rsidP="0089539C">
      <w:pPr>
        <w:numPr>
          <w:ilvl w:val="0"/>
          <w:numId w:val="2"/>
        </w:numPr>
        <w:jc w:val="both"/>
      </w:pPr>
      <w:proofErr w:type="spellStart"/>
      <w:r w:rsidRPr="00AD4BC9">
        <w:rPr>
          <w:b/>
          <w:bCs/>
        </w:rPr>
        <w:t>Бил</w:t>
      </w:r>
      <w:proofErr w:type="spellEnd"/>
      <w:r w:rsidRPr="00AD4BC9">
        <w:rPr>
          <w:b/>
          <w:bCs/>
        </w:rPr>
        <w:t xml:space="preserve"> о </w:t>
      </w:r>
      <w:proofErr w:type="spellStart"/>
      <w:r w:rsidRPr="00AD4BC9">
        <w:rPr>
          <w:b/>
          <w:bCs/>
        </w:rPr>
        <w:t>правима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1689</w:t>
      </w:r>
      <w:r>
        <w:t xml:space="preserve">.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и настанак парламентарне владе у Енглеској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Декларација</w:t>
      </w:r>
      <w:proofErr w:type="spellEnd"/>
      <w:r w:rsidRPr="00B33E88">
        <w:t xml:space="preserve"> </w:t>
      </w:r>
      <w:proofErr w:type="spellStart"/>
      <w:r w:rsidRPr="00B33E88">
        <w:t>независности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Чланови</w:t>
      </w:r>
      <w:proofErr w:type="spellEnd"/>
      <w:r w:rsidRPr="00AD4BC9">
        <w:rPr>
          <w:u w:val="single"/>
        </w:rPr>
        <w:t xml:space="preserve"> о </w:t>
      </w:r>
      <w:proofErr w:type="spellStart"/>
      <w:r w:rsidRPr="00AD4BC9">
        <w:rPr>
          <w:u w:val="single"/>
        </w:rPr>
        <w:t>Конфедерацији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Доношење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Устава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Сједињених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Америчких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Француска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буржоаска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револуција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Декларација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човека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грађанина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Француски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1791.</w:t>
      </w:r>
    </w:p>
    <w:p w:rsidR="0089539C" w:rsidRPr="00B33E88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B33E88">
        <w:t>Француски</w:t>
      </w:r>
      <w:proofErr w:type="spellEnd"/>
      <w:r w:rsidRPr="00B33E88">
        <w:t xml:space="preserve"> </w:t>
      </w:r>
      <w:proofErr w:type="spellStart"/>
      <w:r w:rsidRPr="00B33E88">
        <w:t>Устав</w:t>
      </w:r>
      <w:proofErr w:type="spellEnd"/>
      <w:r w:rsidRPr="00B33E88">
        <w:t xml:space="preserve"> </w:t>
      </w:r>
      <w:proofErr w:type="spellStart"/>
      <w:r w:rsidRPr="00B33E88">
        <w:t>од</w:t>
      </w:r>
      <w:proofErr w:type="spellEnd"/>
      <w:r w:rsidRPr="00B33E88">
        <w:t xml:space="preserve"> 1795</w:t>
      </w:r>
      <w:r w:rsidRPr="00B33E88">
        <w:rPr>
          <w:u w:val="single"/>
        </w:rPr>
        <w:t>.</w:t>
      </w:r>
    </w:p>
    <w:p w:rsidR="0089539C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:rsidR="00C06F26" w:rsidRPr="00AD4BC9" w:rsidRDefault="00C06F26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>
        <w:rPr>
          <w:b/>
          <w:bCs/>
          <w:lang w:val="sr-Cyrl-RS"/>
        </w:rPr>
        <w:t>Француски законик о кривичном поступку од 1808.</w:t>
      </w:r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Наполеонов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законик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Пијемонтски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Статут</w:t>
      </w:r>
      <w:proofErr w:type="spellEnd"/>
      <w:r w:rsidRPr="00AD4BC9">
        <w:rPr>
          <w:u w:val="single"/>
        </w:rPr>
        <w:t xml:space="preserve"> и </w:t>
      </w:r>
      <w:proofErr w:type="spellStart"/>
      <w:r w:rsidRPr="00AD4BC9">
        <w:rPr>
          <w:u w:val="single"/>
        </w:rPr>
        <w:t>Швајцарски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устав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Пруске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Немачког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царства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Француске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Треће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републике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Реформе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бирачког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  <w:spacing w:val="-6"/>
        </w:rPr>
        <w:t>Немачки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  <w:proofErr w:type="spellEnd"/>
    </w:p>
    <w:p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spacing w:val="-6"/>
          <w:u w:val="single"/>
        </w:rPr>
        <w:t>Аустријски</w:t>
      </w:r>
      <w:proofErr w:type="spellEnd"/>
      <w:r>
        <w:rPr>
          <w:spacing w:val="-6"/>
          <w:u w:val="single"/>
        </w:rPr>
        <w:t xml:space="preserve"> и </w:t>
      </w:r>
      <w:proofErr w:type="spellStart"/>
      <w:r>
        <w:rPr>
          <w:spacing w:val="-6"/>
          <w:u w:val="single"/>
        </w:rPr>
        <w:t>Швајцар</w:t>
      </w:r>
      <w:r>
        <w:rPr>
          <w:u w:val="single"/>
        </w:rPr>
        <w:t>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грађански</w:t>
      </w:r>
      <w:proofErr w:type="spellEnd"/>
      <w:r>
        <w:rPr>
          <w:u w:val="single"/>
        </w:rPr>
        <w:t xml:space="preserve"> </w:t>
      </w:r>
      <w:proofErr w:type="spellStart"/>
      <w:r>
        <w:rPr>
          <w:spacing w:val="-6"/>
          <w:u w:val="single"/>
        </w:rPr>
        <w:t>закон</w:t>
      </w:r>
      <w:r>
        <w:rPr>
          <w:u w:val="single"/>
        </w:rPr>
        <w:t>ик</w:t>
      </w:r>
      <w:proofErr w:type="spellEnd"/>
      <w:r>
        <w:rPr>
          <w:u w:val="single"/>
        </w:rPr>
        <w:t xml:space="preserve"> </w:t>
      </w:r>
    </w:p>
    <w:p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:rsidR="0089539C" w:rsidRPr="00DE4AD9" w:rsidRDefault="0089539C" w:rsidP="0089539C">
      <w:pPr>
        <w:jc w:val="both"/>
        <w:rPr>
          <w:lang w:val="ru-RU"/>
        </w:rPr>
      </w:pPr>
      <w:r w:rsidRPr="00DE4AD9">
        <w:rPr>
          <w:lang w:val="ru-RU"/>
        </w:rPr>
        <w:t xml:space="preserve">79. </w:t>
      </w:r>
      <w:r w:rsidRPr="00DE4AD9">
        <w:rPr>
          <w:u w:val="single"/>
          <w:lang w:val="ru-RU"/>
        </w:rPr>
        <w:t>Правно-политички акти Октобарске револуције (Декрет о миру, Декрет о  земљи, социјалистичка Декларација)</w:t>
      </w:r>
    </w:p>
    <w:p w:rsidR="0089539C" w:rsidRPr="00AD4BC9" w:rsidRDefault="0089539C" w:rsidP="0089539C">
      <w:pPr>
        <w:jc w:val="both"/>
        <w:rPr>
          <w:b/>
          <w:bCs/>
        </w:rPr>
      </w:pPr>
      <w:r>
        <w:t xml:space="preserve">80. </w:t>
      </w:r>
      <w:proofErr w:type="spellStart"/>
      <w:r w:rsidRPr="00AD4BC9">
        <w:rPr>
          <w:b/>
          <w:bCs/>
        </w:rPr>
        <w:t>Вајмарски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</w:p>
    <w:p w:rsidR="0089539C" w:rsidRDefault="0089539C" w:rsidP="0089539C">
      <w:pPr>
        <w:spacing w:line="280" w:lineRule="exact"/>
        <w:jc w:val="center"/>
      </w:pPr>
    </w:p>
    <w:p w:rsidR="0089539C" w:rsidRDefault="0089539C" w:rsidP="0089539C"/>
    <w:p w:rsidR="0089539C" w:rsidRDefault="0089539C" w:rsidP="0089539C"/>
    <w:sectPr w:rsidR="0089539C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60"/>
    <w:rsid w:val="00307C00"/>
    <w:rsid w:val="00317C6E"/>
    <w:rsid w:val="004F6856"/>
    <w:rsid w:val="005F2E60"/>
    <w:rsid w:val="006105DC"/>
    <w:rsid w:val="00652DC0"/>
    <w:rsid w:val="006C6D94"/>
    <w:rsid w:val="00710422"/>
    <w:rsid w:val="00710973"/>
    <w:rsid w:val="0089539C"/>
    <w:rsid w:val="00912684"/>
    <w:rsid w:val="00A250BC"/>
    <w:rsid w:val="00A35045"/>
    <w:rsid w:val="00A50C0A"/>
    <w:rsid w:val="00A87165"/>
    <w:rsid w:val="00C06F26"/>
    <w:rsid w:val="00C20828"/>
    <w:rsid w:val="00D520CC"/>
    <w:rsid w:val="00D71DDA"/>
    <w:rsid w:val="00DF1BA9"/>
    <w:rsid w:val="00EB2621"/>
    <w:rsid w:val="00E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2</cp:revision>
  <dcterms:created xsi:type="dcterms:W3CDTF">2022-09-21T07:22:00Z</dcterms:created>
  <dcterms:modified xsi:type="dcterms:W3CDTF">2022-09-21T07:22:00Z</dcterms:modified>
</cp:coreProperties>
</file>