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643D4" w14:textId="77777777" w:rsidR="006464FD" w:rsidRDefault="006464FD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W w:w="44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1657"/>
        <w:gridCol w:w="1660"/>
        <w:gridCol w:w="1537"/>
        <w:gridCol w:w="1250"/>
      </w:tblGrid>
      <w:tr w:rsidR="006464FD" w14:paraId="64F09BF4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864FAA6" w14:textId="77777777" w:rsidR="006464FD" w:rsidRDefault="007E008B">
            <w:pPr>
              <w:pStyle w:val="Heading3"/>
              <w:tabs>
                <w:tab w:val="left" w:pos="4500"/>
              </w:tabs>
              <w:jc w:val="center"/>
              <w:rPr>
                <w:rFonts w:asciiTheme="majorHAnsi" w:hAnsiTheme="majorHAnsi" w:cs="Arial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sr-Cyrl-CS"/>
              </w:rPr>
              <w:t>План рада на наставном предмету</w:t>
            </w:r>
          </w:p>
        </w:tc>
      </w:tr>
      <w:tr w:rsidR="006464FD" w14:paraId="32C1FB1C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9A28" w14:textId="77777777" w:rsidR="006464FD" w:rsidRDefault="007E008B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Тумачење права</w:t>
            </w:r>
          </w:p>
          <w:p w14:paraId="5ACE2DDA" w14:textId="77777777" w:rsidR="006464FD" w:rsidRDefault="007E008B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Општи смер </w:t>
            </w:r>
          </w:p>
        </w:tc>
      </w:tr>
      <w:tr w:rsidR="006464FD" w14:paraId="36822873" w14:textId="77777777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CB1EC3" w14:textId="77777777" w:rsidR="006464FD" w:rsidRDefault="007E008B">
            <w:pPr>
              <w:pStyle w:val="Heading3"/>
              <w:tabs>
                <w:tab w:val="left" w:pos="4500"/>
              </w:tabs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br w:type="page"/>
            </w:r>
          </w:p>
          <w:p w14:paraId="49680484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sr-Cyrl-CS"/>
              </w:rPr>
              <w:t>202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5/</w:t>
            </w:r>
            <w:r>
              <w:rPr>
                <w:rFonts w:asciiTheme="majorHAnsi" w:hAnsiTheme="majorHAnsi"/>
                <w:b/>
                <w:sz w:val="22"/>
                <w:szCs w:val="22"/>
                <w:lang w:val="sr-Cyrl-CS"/>
              </w:rPr>
              <w:t>20</w:t>
            </w:r>
            <w:r>
              <w:rPr>
                <w:rFonts w:asciiTheme="majorHAnsi" w:hAnsiTheme="majorHAnsi"/>
                <w:b/>
                <w:sz w:val="22"/>
                <w:szCs w:val="22"/>
                <w:lang w:val="sr-Latn-RS"/>
              </w:rPr>
              <w:t>2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6</w:t>
            </w:r>
          </w:p>
        </w:tc>
      </w:tr>
      <w:tr w:rsidR="006464FD" w14:paraId="7DE1FF87" w14:textId="77777777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9E37" w14:textId="77777777" w:rsidR="006464FD" w:rsidRDefault="007E008B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vertAlign w:val="superscript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870A" w14:textId="77777777" w:rsidR="006464FD" w:rsidRDefault="007E008B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30E" w14:textId="77777777" w:rsidR="006464FD" w:rsidRDefault="007E008B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4150" w14:textId="77777777" w:rsidR="006464FD" w:rsidRDefault="007E008B">
            <w:pPr>
              <w:pStyle w:val="BodyText3"/>
              <w:tabs>
                <w:tab w:val="left" w:pos="4500"/>
              </w:tabs>
              <w:jc w:val="center"/>
              <w:rPr>
                <w:rFonts w:asciiTheme="majorHAnsi" w:eastAsia="Times New Roman" w:hAnsiTheme="majorHAnsi"/>
                <w:iCs/>
                <w:smallCap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49A5" w14:textId="77777777" w:rsidR="006464FD" w:rsidRDefault="007E008B">
            <w:pPr>
              <w:pStyle w:val="BodyText3"/>
              <w:tabs>
                <w:tab w:val="left" w:pos="4500"/>
              </w:tabs>
              <w:jc w:val="center"/>
              <w:rPr>
                <w:rFonts w:asciiTheme="majorHAnsi" w:eastAsia="Times New Roman" w:hAnsiTheme="majorHAnsi"/>
                <w:iCs/>
                <w:sz w:val="22"/>
                <w:szCs w:val="22"/>
                <w:lang w:val="sr-Cyrl-CS"/>
              </w:rPr>
            </w:pPr>
            <w:r>
              <w:rPr>
                <w:rFonts w:asciiTheme="majorHAnsi" w:eastAsia="Times New Roman" w:hAnsiTheme="majorHAnsi"/>
                <w:bCs/>
                <w:iCs/>
                <w:sz w:val="22"/>
                <w:szCs w:val="22"/>
                <w:lang w:val="sr-Cyrl-CS"/>
              </w:rPr>
              <w:t>Фонд часова</w:t>
            </w:r>
          </w:p>
        </w:tc>
      </w:tr>
      <w:tr w:rsidR="006464FD" w14:paraId="6B41D717" w14:textId="77777777">
        <w:trPr>
          <w:trHeight w:val="373"/>
          <w:jc w:val="center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CDE9" w14:textId="77777777" w:rsidR="006464FD" w:rsidRDefault="007E008B">
            <w:pPr>
              <w:pStyle w:val="Heading4"/>
              <w:jc w:val="center"/>
              <w:rPr>
                <w:rFonts w:asciiTheme="majorHAnsi" w:hAnsiTheme="majorHAnsi"/>
                <w:b w:val="0"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4"/>
                <w:szCs w:val="24"/>
                <w:lang w:val="sr-Latn-RS"/>
              </w:rPr>
              <w:t>TP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44D3" w14:textId="77777777" w:rsidR="006464FD" w:rsidRDefault="007E008B">
            <w:pPr>
              <w:pStyle w:val="Heading2"/>
              <w:jc w:val="center"/>
              <w:rPr>
                <w:rFonts w:asciiTheme="majorHAnsi" w:hAnsiTheme="majorHAnsi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  <w:t>Изборни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430B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>VII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E884" w14:textId="77777777" w:rsidR="006464FD" w:rsidRDefault="007E008B">
            <w:pPr>
              <w:ind w:left="12"/>
              <w:jc w:val="center"/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Latn-CS"/>
              </w:rPr>
              <w:t>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02E5" w14:textId="77777777" w:rsidR="006464FD" w:rsidRDefault="007E008B">
            <w:pPr>
              <w:pStyle w:val="Heading3"/>
              <w:jc w:val="center"/>
              <w:rPr>
                <w:rFonts w:asciiTheme="majorHAnsi" w:hAnsiTheme="majorHAnsi" w:cs="Arial"/>
                <w:b w:val="0"/>
                <w:iCs/>
                <w:sz w:val="22"/>
                <w:szCs w:val="22"/>
              </w:rPr>
            </w:pPr>
            <w:r>
              <w:rPr>
                <w:rFonts w:asciiTheme="majorHAnsi" w:hAnsiTheme="majorHAnsi" w:cs="Arial"/>
                <w:b w:val="0"/>
                <w:iCs/>
                <w:sz w:val="22"/>
                <w:szCs w:val="22"/>
                <w:lang w:val="sr-Cyrl-CS"/>
              </w:rPr>
              <w:t>30</w:t>
            </w:r>
          </w:p>
        </w:tc>
      </w:tr>
    </w:tbl>
    <w:p w14:paraId="57E58DA2" w14:textId="77777777" w:rsidR="006464FD" w:rsidRDefault="006464FD">
      <w:pPr>
        <w:rPr>
          <w:rFonts w:asciiTheme="majorHAnsi" w:hAnsiTheme="majorHAnsi"/>
          <w:sz w:val="22"/>
          <w:szCs w:val="22"/>
          <w:lang w:val="sr-Cyrl-CS"/>
        </w:rPr>
      </w:pPr>
    </w:p>
    <w:p w14:paraId="1C77587F" w14:textId="77777777" w:rsidR="006464FD" w:rsidRDefault="006464FD">
      <w:pPr>
        <w:rPr>
          <w:rFonts w:asciiTheme="majorHAnsi" w:hAnsiTheme="majorHAnsi"/>
          <w:sz w:val="22"/>
          <w:szCs w:val="22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6"/>
        <w:gridCol w:w="6392"/>
      </w:tblGrid>
      <w:tr w:rsidR="006464FD" w14:paraId="26B240D1" w14:textId="77777777">
        <w:trPr>
          <w:trHeight w:val="506"/>
        </w:trPr>
        <w:tc>
          <w:tcPr>
            <w:tcW w:w="2538" w:type="dxa"/>
            <w:vAlign w:val="center"/>
          </w:tcPr>
          <w:p w14:paraId="298AAF0B" w14:textId="77777777" w:rsidR="006464FD" w:rsidRDefault="007E008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Циљеви предмета</w:t>
            </w:r>
          </w:p>
        </w:tc>
        <w:tc>
          <w:tcPr>
            <w:tcW w:w="7038" w:type="dxa"/>
          </w:tcPr>
          <w:p w14:paraId="486A0798" w14:textId="77777777" w:rsidR="006464FD" w:rsidRDefault="007E008B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Изучавање појма, предмета и врста тумачења права; теорије о </w:t>
            </w:r>
            <w:r>
              <w:rPr>
                <w:sz w:val="22"/>
                <w:szCs w:val="22"/>
              </w:rPr>
              <w:t>тумачењу права; субјекти и средства тумачења права; класичне и нове методе у процесу тумачења права. Циљ предмета јесте да студенти овладају основним теоријским и практичним знањима о тумачењу права и стекну способност правилног разумевања и примене правни</w:t>
            </w:r>
            <w:r>
              <w:rPr>
                <w:sz w:val="22"/>
                <w:szCs w:val="22"/>
              </w:rPr>
              <w:t>х норми. Посебни циљеви предмета обухватају упознавање са различитим теоријама и методама тумачења права, разумевање улоге субјеката који учествују у процесу тумачења права, као и стицање способности за примену језичког, логичког, системског, историјског и</w:t>
            </w:r>
            <w:r>
              <w:rPr>
                <w:sz w:val="22"/>
                <w:szCs w:val="22"/>
              </w:rPr>
              <w:t xml:space="preserve"> циљног тумачења права у правној пракси.</w:t>
            </w:r>
          </w:p>
        </w:tc>
      </w:tr>
      <w:tr w:rsidR="006464FD" w14:paraId="6003980F" w14:textId="77777777">
        <w:trPr>
          <w:trHeight w:val="506"/>
        </w:trPr>
        <w:tc>
          <w:tcPr>
            <w:tcW w:w="2538" w:type="dxa"/>
            <w:vAlign w:val="center"/>
          </w:tcPr>
          <w:p w14:paraId="1F6D494D" w14:textId="77777777" w:rsidR="006464FD" w:rsidRDefault="007E008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Исход изучавања</w:t>
            </w:r>
          </w:p>
        </w:tc>
        <w:tc>
          <w:tcPr>
            <w:tcW w:w="7038" w:type="dxa"/>
          </w:tcPr>
          <w:p w14:paraId="3EA1CB5E" w14:textId="77777777" w:rsidR="006464FD" w:rsidRDefault="007E008B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Оспособљавање студената за правилно разумевање значења одредби правних норми; овладавање практичним вештинама у процесима припреме за непосредну примену правних норми; правилан одабир и </w:t>
            </w:r>
            <w:r>
              <w:rPr>
                <w:sz w:val="22"/>
                <w:szCs w:val="22"/>
                <w:lang w:val="ru-RU"/>
              </w:rPr>
              <w:t>комбинација средстава тумачења и развијање способности за самостално и тимско решавање практичних задатака из области тумачења правних норми.</w:t>
            </w:r>
          </w:p>
        </w:tc>
      </w:tr>
      <w:tr w:rsidR="006464FD" w14:paraId="70FFFFB0" w14:textId="77777777">
        <w:trPr>
          <w:trHeight w:val="506"/>
        </w:trPr>
        <w:tc>
          <w:tcPr>
            <w:tcW w:w="2538" w:type="dxa"/>
            <w:vAlign w:val="center"/>
          </w:tcPr>
          <w:p w14:paraId="04ED5929" w14:textId="77777777" w:rsidR="006464FD" w:rsidRDefault="007E008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Садржај и структура предмета</w:t>
            </w:r>
          </w:p>
        </w:tc>
        <w:tc>
          <w:tcPr>
            <w:tcW w:w="7038" w:type="dxa"/>
          </w:tcPr>
          <w:p w14:paraId="2B562742" w14:textId="77777777" w:rsidR="006464FD" w:rsidRDefault="007E008B">
            <w:pPr>
              <w:tabs>
                <w:tab w:val="left" w:pos="567"/>
              </w:tabs>
              <w:spacing w:after="60"/>
              <w:jc w:val="both"/>
              <w:rPr>
                <w:i/>
                <w:iCs/>
                <w:sz w:val="22"/>
                <w:szCs w:val="22"/>
                <w:lang w:val="sr-Cyrl-CS"/>
              </w:rPr>
            </w:pPr>
            <w:r>
              <w:rPr>
                <w:i/>
                <w:iCs/>
                <w:sz w:val="22"/>
                <w:szCs w:val="22"/>
                <w:lang w:val="sr-Cyrl-CS"/>
              </w:rPr>
              <w:t>Теоријска настава</w:t>
            </w:r>
          </w:p>
          <w:p w14:paraId="3D6D5FCC" w14:textId="77777777" w:rsidR="006464FD" w:rsidRDefault="007E008B">
            <w:pPr>
              <w:tabs>
                <w:tab w:val="left" w:pos="567"/>
              </w:tabs>
              <w:spacing w:after="60"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sr-Cyrl-CS"/>
              </w:rPr>
              <w:t>Појам, предмет и значај тумачења права; Настанак и развој тумачења</w:t>
            </w:r>
            <w:r>
              <w:rPr>
                <w:bCs/>
                <w:sz w:val="22"/>
                <w:szCs w:val="22"/>
                <w:lang w:val="sr-Cyrl-CS"/>
              </w:rPr>
              <w:t xml:space="preserve"> права; Правна аргументација; Врсте тумача права; Законодавно, управно и судско тумачење; Уставно-судско тумачење; Средства тумачења права; Језичко тумачење, основна правила, врсте; Логичко тумачење, основна правила, врсте; Историјско тумачење; Циљно тумач</w:t>
            </w:r>
            <w:r>
              <w:rPr>
                <w:bCs/>
                <w:sz w:val="22"/>
                <w:szCs w:val="22"/>
                <w:lang w:val="sr-Cyrl-CS"/>
              </w:rPr>
              <w:t>ење; Системско тумачење; Компарацијско тумачење; Правила о тумачењу одредби о људским правима и слободама у Републици Србији; Практични примери и задаци.</w:t>
            </w:r>
          </w:p>
          <w:p w14:paraId="1867D636" w14:textId="77777777" w:rsidR="006464FD" w:rsidRDefault="007E008B">
            <w:pPr>
              <w:tabs>
                <w:tab w:val="left" w:pos="567"/>
              </w:tabs>
              <w:spacing w:after="60"/>
              <w:jc w:val="both"/>
              <w:rPr>
                <w:i/>
                <w:iCs/>
                <w:sz w:val="22"/>
                <w:szCs w:val="22"/>
                <w:lang w:val="sr-Cyrl-CS"/>
              </w:rPr>
            </w:pPr>
            <w:r>
              <w:rPr>
                <w:i/>
                <w:iCs/>
                <w:sz w:val="22"/>
                <w:szCs w:val="22"/>
                <w:lang w:val="sr-Cyrl-CS"/>
              </w:rPr>
              <w:t xml:space="preserve">Практична настава </w:t>
            </w:r>
          </w:p>
          <w:p w14:paraId="02ED8BE0" w14:textId="77777777" w:rsidR="006464FD" w:rsidRDefault="007E008B">
            <w:pPr>
              <w:jc w:val="both"/>
              <w:rPr>
                <w:rFonts w:asciiTheme="majorHAnsi" w:hAnsiTheme="majorHAnsi" w:cs="Arial"/>
                <w:sz w:val="22"/>
                <w:szCs w:val="22"/>
                <w:lang w:val="sr-Cyrl-CS"/>
              </w:rPr>
            </w:pPr>
            <w:r>
              <w:rPr>
                <w:iCs/>
                <w:sz w:val="22"/>
                <w:szCs w:val="22"/>
                <w:lang w:val="sr-Cyrl-CS"/>
              </w:rPr>
              <w:t xml:space="preserve">Избор релевантне правне праксе из области тумачења права: уставно-судско тумачење; </w:t>
            </w:r>
            <w:r>
              <w:rPr>
                <w:iCs/>
                <w:sz w:val="22"/>
                <w:szCs w:val="22"/>
                <w:lang w:val="sr-Cyrl-CS"/>
              </w:rPr>
              <w:t>аутентично тумачење Народне скупштине; тумачење Европског суда за људска права; Вежбање кроз практичне примере и задатке.</w:t>
            </w:r>
          </w:p>
        </w:tc>
      </w:tr>
    </w:tbl>
    <w:p w14:paraId="45EB9B8D" w14:textId="77777777" w:rsidR="006464FD" w:rsidRDefault="006464FD">
      <w:pPr>
        <w:rPr>
          <w:rFonts w:asciiTheme="majorHAnsi" w:hAnsiTheme="majorHAnsi" w:cs="Arial"/>
          <w:sz w:val="22"/>
          <w:szCs w:val="22"/>
          <w:lang w:val="sr-Cyrl-CS"/>
        </w:rPr>
      </w:pPr>
    </w:p>
    <w:tbl>
      <w:tblPr>
        <w:tblW w:w="8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"/>
        <w:gridCol w:w="6398"/>
        <w:gridCol w:w="1372"/>
      </w:tblGrid>
      <w:tr w:rsidR="006464FD" w14:paraId="7FA4A781" w14:textId="77777777">
        <w:tc>
          <w:tcPr>
            <w:tcW w:w="8778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14:paraId="7ABB5479" w14:textId="77777777" w:rsidR="006464FD" w:rsidRDefault="007E008B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val="sr-Cyrl-CS"/>
              </w:rPr>
              <w:t>П Р Е Д А В А Њ А</w:t>
            </w:r>
          </w:p>
        </w:tc>
      </w:tr>
      <w:tr w:rsidR="006464FD" w14:paraId="2F1C53E8" w14:textId="77777777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0250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9A0B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Тематска јединица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66FCF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број часова</w:t>
            </w:r>
          </w:p>
        </w:tc>
      </w:tr>
      <w:tr w:rsidR="006464FD" w14:paraId="45103459" w14:textId="77777777">
        <w:tc>
          <w:tcPr>
            <w:tcW w:w="1008" w:type="dxa"/>
            <w:tcBorders>
              <w:top w:val="single" w:sz="6" w:space="0" w:color="000000"/>
            </w:tcBorders>
            <w:vAlign w:val="center"/>
          </w:tcPr>
          <w:p w14:paraId="6CCBC0EC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</w:t>
            </w:r>
          </w:p>
        </w:tc>
        <w:tc>
          <w:tcPr>
            <w:tcW w:w="6398" w:type="dxa"/>
            <w:tcBorders>
              <w:top w:val="single" w:sz="6" w:space="0" w:color="000000"/>
            </w:tcBorders>
          </w:tcPr>
          <w:p w14:paraId="40140B7D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Уводно предавање; упознавање са начином извођења наставних активности и вредновањем предиспитиних активности. </w:t>
            </w:r>
          </w:p>
        </w:tc>
        <w:tc>
          <w:tcPr>
            <w:tcW w:w="1372" w:type="dxa"/>
            <w:tcBorders>
              <w:top w:val="single" w:sz="6" w:space="0" w:color="000000"/>
            </w:tcBorders>
          </w:tcPr>
          <w:p w14:paraId="5C098197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73BD6D1F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595846A2" w14:textId="77777777">
        <w:tc>
          <w:tcPr>
            <w:tcW w:w="1008" w:type="dxa"/>
            <w:vAlign w:val="center"/>
          </w:tcPr>
          <w:p w14:paraId="19B51E5D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II</w:t>
            </w:r>
          </w:p>
        </w:tc>
        <w:tc>
          <w:tcPr>
            <w:tcW w:w="6398" w:type="dxa"/>
          </w:tcPr>
          <w:p w14:paraId="3F479C09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Појам, предмет и значај</w:t>
            </w:r>
            <w:r>
              <w:rPr>
                <w:sz w:val="22"/>
                <w:szCs w:val="22"/>
              </w:rPr>
              <w:t xml:space="preserve"> правне</w:t>
            </w:r>
            <w:r>
              <w:rPr>
                <w:sz w:val="22"/>
                <w:szCs w:val="22"/>
                <w:lang w:val="sr-Cyrl-CS"/>
              </w:rPr>
              <w:t xml:space="preserve"> херменеутике. Настанак и развој херменеутике.</w:t>
            </w:r>
          </w:p>
        </w:tc>
        <w:tc>
          <w:tcPr>
            <w:tcW w:w="1372" w:type="dxa"/>
          </w:tcPr>
          <w:p w14:paraId="3939E4CE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7D0B7D03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3CC7D58D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38663093" w14:textId="77777777">
        <w:tc>
          <w:tcPr>
            <w:tcW w:w="1008" w:type="dxa"/>
            <w:vAlign w:val="center"/>
          </w:tcPr>
          <w:p w14:paraId="2A9A8879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III</w:t>
            </w:r>
          </w:p>
        </w:tc>
        <w:tc>
          <w:tcPr>
            <w:tcW w:w="6398" w:type="dxa"/>
          </w:tcPr>
          <w:p w14:paraId="057258B6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Значење и тумачење права. Логичке основе </w:t>
            </w:r>
            <w:r>
              <w:rPr>
                <w:sz w:val="22"/>
                <w:szCs w:val="22"/>
                <w:lang w:val="sr-Cyrl-CS"/>
              </w:rPr>
              <w:t>значења. Носиоци значења. Основи објективног значења</w:t>
            </w:r>
          </w:p>
        </w:tc>
        <w:tc>
          <w:tcPr>
            <w:tcW w:w="1372" w:type="dxa"/>
          </w:tcPr>
          <w:p w14:paraId="0EC1EDED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40D14C3A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15EBF8ED" w14:textId="77777777">
        <w:tc>
          <w:tcPr>
            <w:tcW w:w="1008" w:type="dxa"/>
            <w:vAlign w:val="center"/>
          </w:tcPr>
          <w:p w14:paraId="436259A2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IV</w:t>
            </w:r>
          </w:p>
        </w:tc>
        <w:tc>
          <w:tcPr>
            <w:tcW w:w="6398" w:type="dxa"/>
          </w:tcPr>
          <w:p w14:paraId="2F157AB6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Логички суд. Врсте судова. Императивни и нормативни суд.</w:t>
            </w:r>
          </w:p>
        </w:tc>
        <w:tc>
          <w:tcPr>
            <w:tcW w:w="1372" w:type="dxa"/>
          </w:tcPr>
          <w:p w14:paraId="6611704E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460E5885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2F66CDA5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085B67F5" w14:textId="77777777">
        <w:tc>
          <w:tcPr>
            <w:tcW w:w="1008" w:type="dxa"/>
            <w:vAlign w:val="center"/>
          </w:tcPr>
          <w:p w14:paraId="18B9689A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</w:t>
            </w:r>
          </w:p>
        </w:tc>
        <w:tc>
          <w:tcPr>
            <w:tcW w:w="6398" w:type="dxa"/>
          </w:tcPr>
          <w:p w14:paraId="25FFF916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Дискусија. Анализа случајева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из праксе.</w:t>
            </w:r>
          </w:p>
          <w:p w14:paraId="29755373" w14:textId="77777777" w:rsidR="006464FD" w:rsidRDefault="006464FD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1372" w:type="dxa"/>
          </w:tcPr>
          <w:p w14:paraId="2C9EB5C6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5FB04532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1608A85A" w14:textId="77777777">
        <w:tc>
          <w:tcPr>
            <w:tcW w:w="1008" w:type="dxa"/>
            <w:vAlign w:val="center"/>
          </w:tcPr>
          <w:p w14:paraId="35AFDED9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</w:t>
            </w:r>
          </w:p>
        </w:tc>
        <w:tc>
          <w:tcPr>
            <w:tcW w:w="6398" w:type="dxa"/>
          </w:tcPr>
          <w:p w14:paraId="3704F131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sz w:val="22"/>
                <w:szCs w:val="22"/>
                <w:lang w:val="sr-Cyrl-CS"/>
              </w:rPr>
              <w:t xml:space="preserve">Врсте тумача права. Службено тумачење. Лаичко тумачење. Правно научно </w:t>
            </w:r>
            <w:r>
              <w:rPr>
                <w:sz w:val="22"/>
                <w:szCs w:val="22"/>
                <w:lang w:val="sr-Cyrl-CS"/>
              </w:rPr>
              <w:t>тумачење.</w:t>
            </w:r>
            <w:r>
              <w:rPr>
                <w:sz w:val="22"/>
                <w:szCs w:val="22"/>
              </w:rPr>
              <w:t xml:space="preserve"> Аутентично тумачење</w:t>
            </w:r>
          </w:p>
        </w:tc>
        <w:tc>
          <w:tcPr>
            <w:tcW w:w="1372" w:type="dxa"/>
          </w:tcPr>
          <w:p w14:paraId="53A5ADC8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0FDF0383" w14:textId="77777777">
        <w:tc>
          <w:tcPr>
            <w:tcW w:w="1008" w:type="dxa"/>
            <w:vAlign w:val="center"/>
          </w:tcPr>
          <w:p w14:paraId="652F3E3D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ru-RU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VII</w:t>
            </w:r>
          </w:p>
        </w:tc>
        <w:tc>
          <w:tcPr>
            <w:tcW w:w="6398" w:type="dxa"/>
          </w:tcPr>
          <w:p w14:paraId="6073972E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Поступак тумачења права. Средства тумачења права.</w:t>
            </w:r>
          </w:p>
        </w:tc>
        <w:tc>
          <w:tcPr>
            <w:tcW w:w="1372" w:type="dxa"/>
          </w:tcPr>
          <w:p w14:paraId="4D7BA490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1B6514E3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78D8AD75" w14:textId="77777777">
        <w:tc>
          <w:tcPr>
            <w:tcW w:w="1008" w:type="dxa"/>
            <w:vAlign w:val="center"/>
          </w:tcPr>
          <w:p w14:paraId="79967128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VIII</w:t>
            </w:r>
          </w:p>
        </w:tc>
        <w:tc>
          <w:tcPr>
            <w:tcW w:w="6398" w:type="dxa"/>
          </w:tcPr>
          <w:p w14:paraId="1B80110E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Језичко тумачење права. Апорија слободног тумачења. Везано тумачење.</w:t>
            </w:r>
          </w:p>
        </w:tc>
        <w:tc>
          <w:tcPr>
            <w:tcW w:w="1372" w:type="dxa"/>
          </w:tcPr>
          <w:p w14:paraId="1B1B13F0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63DEEDE1" w14:textId="77777777">
        <w:tc>
          <w:tcPr>
            <w:tcW w:w="1008" w:type="dxa"/>
            <w:vAlign w:val="center"/>
          </w:tcPr>
          <w:p w14:paraId="2B836874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IX</w:t>
            </w:r>
          </w:p>
        </w:tc>
        <w:tc>
          <w:tcPr>
            <w:tcW w:w="6398" w:type="dxa"/>
          </w:tcPr>
          <w:p w14:paraId="6B4AE2DC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Врсте везаног значења. Субјективно и објективно значење. Статичко и еволуционистичко </w:t>
            </w:r>
            <w:r>
              <w:rPr>
                <w:sz w:val="22"/>
                <w:szCs w:val="22"/>
                <w:lang w:val="sr-Cyrl-CS"/>
              </w:rPr>
              <w:t>значење.</w:t>
            </w:r>
          </w:p>
        </w:tc>
        <w:tc>
          <w:tcPr>
            <w:tcW w:w="1372" w:type="dxa"/>
          </w:tcPr>
          <w:p w14:paraId="32EDFF05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6F5D2846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5440CD28" w14:textId="77777777">
        <w:tc>
          <w:tcPr>
            <w:tcW w:w="1008" w:type="dxa"/>
            <w:vAlign w:val="center"/>
          </w:tcPr>
          <w:p w14:paraId="7A58B2AB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</w:t>
            </w:r>
          </w:p>
        </w:tc>
        <w:tc>
          <w:tcPr>
            <w:tcW w:w="6398" w:type="dxa"/>
            <w:shd w:val="clear" w:color="auto" w:fill="auto"/>
          </w:tcPr>
          <w:p w14:paraId="2E514E47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Колоквијум</w:t>
            </w:r>
          </w:p>
          <w:p w14:paraId="2A4DD647" w14:textId="77777777" w:rsidR="006464FD" w:rsidRDefault="006464FD">
            <w:pPr>
              <w:jc w:val="both"/>
              <w:rPr>
                <w:sz w:val="22"/>
                <w:szCs w:val="22"/>
                <w:lang w:val="sr-Cyrl-CS"/>
              </w:rPr>
            </w:pPr>
          </w:p>
        </w:tc>
        <w:tc>
          <w:tcPr>
            <w:tcW w:w="1372" w:type="dxa"/>
          </w:tcPr>
          <w:p w14:paraId="09826B6C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6B5FC621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0587F381" w14:textId="77777777">
        <w:tc>
          <w:tcPr>
            <w:tcW w:w="1008" w:type="dxa"/>
            <w:vAlign w:val="center"/>
          </w:tcPr>
          <w:p w14:paraId="550B6A65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</w:t>
            </w:r>
          </w:p>
        </w:tc>
        <w:tc>
          <w:tcPr>
            <w:tcW w:w="6398" w:type="dxa"/>
          </w:tcPr>
          <w:p w14:paraId="013143E2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Логичко тумачење правне норме и примена логичких методолошких правила у тумачењу права. Аналогија и разлог супротности. Природа изузетка.</w:t>
            </w:r>
          </w:p>
        </w:tc>
        <w:tc>
          <w:tcPr>
            <w:tcW w:w="1372" w:type="dxa"/>
          </w:tcPr>
          <w:p w14:paraId="6789BAF1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29D5AE2E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630F3ED9" w14:textId="77777777">
        <w:tc>
          <w:tcPr>
            <w:tcW w:w="1008" w:type="dxa"/>
            <w:vAlign w:val="center"/>
          </w:tcPr>
          <w:p w14:paraId="4B9558B4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XII</w:t>
            </w:r>
          </w:p>
        </w:tc>
        <w:tc>
          <w:tcPr>
            <w:tcW w:w="6398" w:type="dxa"/>
          </w:tcPr>
          <w:p w14:paraId="3B78DE1D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Систематско тумачење права. Историјско тумачење права.</w:t>
            </w:r>
          </w:p>
        </w:tc>
        <w:tc>
          <w:tcPr>
            <w:tcW w:w="1372" w:type="dxa"/>
          </w:tcPr>
          <w:p w14:paraId="26EDC784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0B0BE9A6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0B5D58BD" w14:textId="77777777">
        <w:tc>
          <w:tcPr>
            <w:tcW w:w="1008" w:type="dxa"/>
            <w:vAlign w:val="center"/>
          </w:tcPr>
          <w:p w14:paraId="5AEAF7DA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XIII</w:t>
            </w:r>
          </w:p>
        </w:tc>
        <w:tc>
          <w:tcPr>
            <w:tcW w:w="6398" w:type="dxa"/>
          </w:tcPr>
          <w:p w14:paraId="61D2F7EE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Циљно </w:t>
            </w:r>
            <w:r>
              <w:rPr>
                <w:sz w:val="22"/>
                <w:szCs w:val="22"/>
                <w:lang w:val="sr-Cyrl-CS"/>
              </w:rPr>
              <w:t>тумачење права.</w:t>
            </w:r>
          </w:p>
        </w:tc>
        <w:tc>
          <w:tcPr>
            <w:tcW w:w="1372" w:type="dxa"/>
          </w:tcPr>
          <w:p w14:paraId="757E46DE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0871A897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  <w:tr w:rsidR="006464FD" w14:paraId="3AECF8F6" w14:textId="77777777">
        <w:tc>
          <w:tcPr>
            <w:tcW w:w="1008" w:type="dxa"/>
            <w:vAlign w:val="center"/>
          </w:tcPr>
          <w:p w14:paraId="172200C3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XIV</w:t>
            </w:r>
          </w:p>
        </w:tc>
        <w:tc>
          <w:tcPr>
            <w:tcW w:w="6398" w:type="dxa"/>
          </w:tcPr>
          <w:p w14:paraId="0E83F1DD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sz w:val="20"/>
                <w:szCs w:val="20"/>
                <w:lang w:val="ru-RU"/>
              </w:rPr>
              <w:t>Правила о тумачењу одредби о људским правима и слободама у Републици Србији;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2"/>
                <w:szCs w:val="22"/>
              </w:rPr>
              <w:t>Т</w:t>
            </w:r>
            <w:r>
              <w:rPr>
                <w:iCs/>
                <w:sz w:val="22"/>
                <w:szCs w:val="22"/>
                <w:lang w:val="sr-Cyrl-CS"/>
              </w:rPr>
              <w:t>умачење Европског суда за људска права; Вежбање кроз практичне примере и задатке.</w:t>
            </w:r>
          </w:p>
        </w:tc>
        <w:tc>
          <w:tcPr>
            <w:tcW w:w="1372" w:type="dxa"/>
          </w:tcPr>
          <w:p w14:paraId="66AA8161" w14:textId="77777777" w:rsidR="006464FD" w:rsidRDefault="006464FD">
            <w:pPr>
              <w:jc w:val="both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36325043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  <w:p w14:paraId="433DF501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64FD" w14:paraId="610F826F" w14:textId="77777777">
        <w:tc>
          <w:tcPr>
            <w:tcW w:w="1008" w:type="dxa"/>
            <w:vAlign w:val="center"/>
          </w:tcPr>
          <w:p w14:paraId="3017C7CA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XV</w:t>
            </w:r>
          </w:p>
        </w:tc>
        <w:tc>
          <w:tcPr>
            <w:tcW w:w="6398" w:type="dxa"/>
          </w:tcPr>
          <w:p w14:paraId="1B5862BB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Завршно предавање; упис предиспитних поена и припрема за испит. </w:t>
            </w:r>
          </w:p>
        </w:tc>
        <w:tc>
          <w:tcPr>
            <w:tcW w:w="1372" w:type="dxa"/>
          </w:tcPr>
          <w:p w14:paraId="28D06B50" w14:textId="77777777" w:rsidR="006464FD" w:rsidRDefault="006464FD">
            <w:pPr>
              <w:jc w:val="center"/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5EB1AB8F" w14:textId="77777777" w:rsidR="006464FD" w:rsidRDefault="007E008B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</w:tr>
    </w:tbl>
    <w:p w14:paraId="30546CE5" w14:textId="77777777" w:rsidR="006464FD" w:rsidRDefault="006464FD">
      <w:pPr>
        <w:rPr>
          <w:rFonts w:asciiTheme="majorHAnsi" w:hAnsiTheme="majorHAnsi"/>
          <w:sz w:val="22"/>
          <w:szCs w:val="22"/>
          <w:lang w:val="sr-Cyrl-CS"/>
        </w:rPr>
      </w:pPr>
    </w:p>
    <w:p w14:paraId="70828D5D" w14:textId="77777777" w:rsidR="006464FD" w:rsidRDefault="006464FD">
      <w:pPr>
        <w:rPr>
          <w:rFonts w:asciiTheme="majorHAnsi" w:hAnsiTheme="majorHAnsi"/>
          <w:sz w:val="22"/>
          <w:szCs w:val="22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1"/>
        <w:gridCol w:w="1321"/>
        <w:gridCol w:w="4456"/>
      </w:tblGrid>
      <w:tr w:rsidR="006464FD" w14:paraId="77A53A25" w14:textId="77777777">
        <w:trPr>
          <w:trHeight w:val="690"/>
        </w:trPr>
        <w:tc>
          <w:tcPr>
            <w:tcW w:w="3258" w:type="dxa"/>
            <w:vAlign w:val="center"/>
          </w:tcPr>
          <w:p w14:paraId="5B760C83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Облици извођења наставе</w:t>
            </w:r>
          </w:p>
          <w:p w14:paraId="5ACAF4CD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  <w:p w14:paraId="371E35F0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58F6303B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iCs/>
                <w:sz w:val="22"/>
                <w:szCs w:val="22"/>
                <w:lang w:val="sr-Cyrl-CS"/>
              </w:rPr>
              <w:t>Предавања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, дискусије, анализе случајева</w:t>
            </w:r>
          </w:p>
        </w:tc>
      </w:tr>
      <w:tr w:rsidR="006464FD" w14:paraId="1AF146A3" w14:textId="77777777">
        <w:trPr>
          <w:trHeight w:val="690"/>
        </w:trPr>
        <w:tc>
          <w:tcPr>
            <w:tcW w:w="3258" w:type="dxa"/>
            <w:vAlign w:val="center"/>
          </w:tcPr>
          <w:p w14:paraId="18B4A12B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Начин оцењивања на предмету</w:t>
            </w:r>
          </w:p>
          <w:p w14:paraId="6497AEAF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  <w:p w14:paraId="2A155507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6318" w:type="dxa"/>
            <w:gridSpan w:val="2"/>
          </w:tcPr>
          <w:p w14:paraId="0F6BC523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Присуство предавањима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: до </w:t>
            </w:r>
            <w:r>
              <w:rPr>
                <w:rFonts w:asciiTheme="majorHAnsi" w:hAnsiTheme="majorHAnsi"/>
                <w:sz w:val="22"/>
                <w:szCs w:val="22"/>
              </w:rPr>
              <w:t>15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 поена</w:t>
            </w:r>
          </w:p>
          <w:p w14:paraId="34769027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Ослобађајући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колоквијум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: до </w:t>
            </w: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0 поена</w:t>
            </w:r>
          </w:p>
          <w:p w14:paraId="6A9CC0C6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Семинарски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рад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: до 5 поена</w:t>
            </w:r>
          </w:p>
          <w:p w14:paraId="7963789C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Анализа примера из стручне праксе (case study): до 5 поена</w:t>
            </w:r>
          </w:p>
          <w:p w14:paraId="4C8C1B55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</w:rPr>
              <w:t>Есеји и други радови, студентска презентација: до 5 поена</w:t>
            </w:r>
          </w:p>
          <w:p w14:paraId="61E14A6E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Испит: до 70 поена</w:t>
            </w:r>
          </w:p>
        </w:tc>
      </w:tr>
      <w:tr w:rsidR="006464FD" w14:paraId="580335CD" w14:textId="77777777">
        <w:trPr>
          <w:trHeight w:val="347"/>
        </w:trPr>
        <w:tc>
          <w:tcPr>
            <w:tcW w:w="3258" w:type="dxa"/>
            <w:vMerge w:val="restart"/>
            <w:vAlign w:val="center"/>
          </w:tcPr>
          <w:p w14:paraId="352FAB8A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Литература</w:t>
            </w:r>
          </w:p>
          <w:p w14:paraId="00D49C30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  <w:p w14:paraId="777882C0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653CEB1F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Обавезна</w:t>
            </w:r>
          </w:p>
        </w:tc>
        <w:tc>
          <w:tcPr>
            <w:tcW w:w="4968" w:type="dxa"/>
          </w:tcPr>
          <w:p w14:paraId="0ED32E23" w14:textId="77777777" w:rsidR="006464FD" w:rsidRDefault="007E008B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Р. Лукић, Тумачење права, Савремена администрација, Београд, 1961.</w:t>
            </w:r>
          </w:p>
          <w:p w14:paraId="6DB7D19B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М. </w:t>
            </w:r>
            <w:r>
              <w:rPr>
                <w:sz w:val="22"/>
                <w:szCs w:val="22"/>
                <w:lang w:val="ru-RU"/>
              </w:rPr>
              <w:t>Симић, С. Ђорђевић, Д. Матић, Увод у право, Правни факултет, Крагујевац, 2009.</w:t>
            </w:r>
          </w:p>
        </w:tc>
      </w:tr>
      <w:tr w:rsidR="006464FD" w14:paraId="15E0B3DE" w14:textId="77777777">
        <w:trPr>
          <w:trHeight w:val="346"/>
        </w:trPr>
        <w:tc>
          <w:tcPr>
            <w:tcW w:w="3258" w:type="dxa"/>
            <w:vMerge/>
            <w:vAlign w:val="center"/>
          </w:tcPr>
          <w:p w14:paraId="0E33E034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14:paraId="772CDF7D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0F86ABE2" w14:textId="77777777" w:rsidR="006464FD" w:rsidRDefault="006464FD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</w:p>
          <w:p w14:paraId="3C7CBF1D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Допунска</w:t>
            </w:r>
          </w:p>
        </w:tc>
        <w:tc>
          <w:tcPr>
            <w:tcW w:w="4968" w:type="dxa"/>
          </w:tcPr>
          <w:p w14:paraId="34B09DEA" w14:textId="77777777" w:rsidR="006464FD" w:rsidRDefault="007E008B">
            <w:pPr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М. Симић, С. Јарић, Теорија значења и тумачења права, Наука, Ниш, Београд, 2000.</w:t>
            </w:r>
          </w:p>
          <w:p w14:paraId="3194765C" w14:textId="77777777" w:rsidR="006464FD" w:rsidRDefault="007E008B">
            <w:pPr>
              <w:jc w:val="both"/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Latn-RS"/>
              </w:rPr>
              <w:t>U</w:t>
            </w:r>
            <w:r>
              <w:rPr>
                <w:sz w:val="22"/>
                <w:szCs w:val="22"/>
                <w:lang w:val="sr-Cyrl-CS"/>
              </w:rPr>
              <w:t xml:space="preserve">. </w:t>
            </w:r>
            <w:r>
              <w:rPr>
                <w:sz w:val="22"/>
                <w:szCs w:val="22"/>
                <w:lang w:val="sr-Latn-RS"/>
              </w:rPr>
              <w:t>Eko</w:t>
            </w:r>
            <w:r>
              <w:rPr>
                <w:sz w:val="22"/>
                <w:szCs w:val="22"/>
                <w:lang w:val="sr-Cyrl-CS"/>
              </w:rPr>
              <w:t xml:space="preserve">, </w:t>
            </w:r>
            <w:r>
              <w:rPr>
                <w:sz w:val="22"/>
                <w:szCs w:val="22"/>
                <w:lang w:val="sr-Latn-RS"/>
              </w:rPr>
              <w:t>Granice tumačenja</w:t>
            </w:r>
            <w:r>
              <w:rPr>
                <w:sz w:val="22"/>
                <w:szCs w:val="22"/>
                <w:lang w:val="sr-Cyrl-CS"/>
              </w:rPr>
              <w:t>,</w:t>
            </w:r>
            <w:r>
              <w:rPr>
                <w:sz w:val="22"/>
                <w:szCs w:val="22"/>
                <w:lang w:val="sr-Latn-RS"/>
              </w:rPr>
              <w:t xml:space="preserve"> Paideia, Beograd, 2001.</w:t>
            </w:r>
            <w:r>
              <w:rPr>
                <w:sz w:val="22"/>
                <w:szCs w:val="22"/>
                <w:lang w:val="sr-Cyrl-CS"/>
              </w:rPr>
              <w:t xml:space="preserve">  </w:t>
            </w:r>
          </w:p>
        </w:tc>
      </w:tr>
      <w:tr w:rsidR="006464FD" w14:paraId="494F010A" w14:textId="77777777">
        <w:trPr>
          <w:trHeight w:val="690"/>
        </w:trPr>
        <w:tc>
          <w:tcPr>
            <w:tcW w:w="3258" w:type="dxa"/>
            <w:vAlign w:val="center"/>
          </w:tcPr>
          <w:p w14:paraId="686115D3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Подаци о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наставницима и сарадницима на предмету</w:t>
            </w:r>
          </w:p>
        </w:tc>
        <w:tc>
          <w:tcPr>
            <w:tcW w:w="6318" w:type="dxa"/>
            <w:gridSpan w:val="2"/>
          </w:tcPr>
          <w:p w14:paraId="6F8F391C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Проф. др Срђан С. Ђорђевић, редовни професор, </w:t>
            </w:r>
          </w:p>
          <w:p w14:paraId="648ED1DE" w14:textId="77777777" w:rsidR="006464FD" w:rsidRDefault="007E008B">
            <w:pP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  <w:t xml:space="preserve">Кабинет А 211, </w:t>
            </w:r>
          </w:p>
          <w:p w14:paraId="561624AA" w14:textId="77777777" w:rsidR="006464FD" w:rsidRDefault="007E008B">
            <w:pP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sr-Cyrl-CS"/>
              </w:rPr>
              <w:t>тел. 034 306 561</w:t>
            </w:r>
          </w:p>
          <w:p w14:paraId="2A8960A1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hyperlink r:id="rId5" w:history="1"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sdjordjevic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@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jura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.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kg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.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ac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  <w:lang w:val="ru-RU"/>
                </w:rPr>
                <w:t>.</w:t>
              </w:r>
              <w:r>
                <w:rPr>
                  <w:rStyle w:val="Hyperlink"/>
                  <w:rFonts w:asciiTheme="majorHAnsi" w:hAnsiTheme="majorHAnsi"/>
                  <w:bCs/>
                  <w:sz w:val="22"/>
                  <w:szCs w:val="22"/>
                  <w:u w:val="none"/>
                </w:rPr>
                <w:t>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 </w:t>
            </w:r>
          </w:p>
          <w:p w14:paraId="734CD647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lastRenderedPageBreak/>
              <w:t>Консултације: понедељак – 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  <w:t>h</w:t>
            </w:r>
          </w:p>
          <w:p w14:paraId="65C5612B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консултације: уторак -13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5262344A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(недељу дана пре заказаног испита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>)</w:t>
            </w:r>
          </w:p>
          <w:p w14:paraId="7B6160FA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Проф. др Дејан С. Матић, ванредни професор</w:t>
            </w:r>
          </w:p>
          <w:p w14:paraId="7F5DA7D2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Кабинет А 210, </w:t>
            </w:r>
          </w:p>
          <w:p w14:paraId="46FC121C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тел. 034 306 579</w:t>
            </w:r>
          </w:p>
          <w:p w14:paraId="4F4F8886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Latn-RS"/>
              </w:rPr>
            </w:pPr>
            <w:hyperlink r:id="rId6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dmatic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@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jura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.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kg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.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ac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sr-Cyrl-CS"/>
                </w:rPr>
                <w:t>.</w:t>
              </w:r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</w:rPr>
                <w:t>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 </w:t>
            </w:r>
          </w:p>
          <w:p w14:paraId="39355A0B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среда: 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  <w:t>h</w:t>
            </w:r>
          </w:p>
          <w:p w14:paraId="4ECC17E9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 четвртак – 13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C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46718DBA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(недељу дана пре заказаног испита) </w:t>
            </w:r>
          </w:p>
          <w:p w14:paraId="0D56FEA0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Доц. др Никола Ивковић, доцент</w:t>
            </w:r>
          </w:p>
          <w:p w14:paraId="5D7302BC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Кабинет А </w:t>
            </w:r>
            <w:r>
              <w:rPr>
                <w:rFonts w:asciiTheme="majorHAnsi" w:hAnsiTheme="majorHAnsi"/>
                <w:sz w:val="22"/>
                <w:szCs w:val="22"/>
              </w:rPr>
              <w:t>119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,</w:t>
            </w:r>
          </w:p>
          <w:p w14:paraId="203CD27F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тел. 034 306 534</w:t>
            </w:r>
          </w:p>
          <w:p w14:paraId="586410B3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hyperlink r:id="rId7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  <w:u w:val="none"/>
                  <w:lang w:val="en-US"/>
                </w:rPr>
                <w:t>nivkovic@jura.kg.ac.rs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</w:p>
          <w:p w14:paraId="11E19692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понедељак – 12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-14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  <w:t>h</w:t>
            </w:r>
          </w:p>
          <w:p w14:paraId="165A15F7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консултације: уторак -13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175B917D" w14:textId="77777777" w:rsidR="006464FD" w:rsidRDefault="007E008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(недељу дана пре заказаног испита)</w:t>
            </w:r>
          </w:p>
          <w:p w14:paraId="2EE92182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Лука Петровић, асистент</w:t>
            </w:r>
          </w:p>
          <w:p w14:paraId="40B73B70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sr-Cyrl-C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Кабинет </w:t>
            </w:r>
            <w:r>
              <w:rPr>
                <w:rFonts w:asciiTheme="majorHAnsi" w:hAnsiTheme="majorHAnsi"/>
                <w:sz w:val="22"/>
                <w:szCs w:val="22"/>
              </w:rPr>
              <w:t>Б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101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,</w:t>
            </w:r>
          </w:p>
          <w:p w14:paraId="50700EE7" w14:textId="77777777" w:rsidR="006464FD" w:rsidRDefault="007E008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тел. 034 306 5</w:t>
            </w:r>
            <w:r>
              <w:rPr>
                <w:rFonts w:asciiTheme="majorHAnsi" w:hAnsiTheme="majorHAnsi"/>
                <w:sz w:val="22"/>
                <w:szCs w:val="22"/>
              </w:rPr>
              <w:t>46</w:t>
            </w:r>
          </w:p>
          <w:p w14:paraId="75F89E3D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hyperlink r:id="rId8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  <w:lang w:val="en-US"/>
                </w:rPr>
                <w:t>lpetrovic@jura.kg.ac.rs</w:t>
              </w:r>
            </w:hyperlink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</w:t>
            </w:r>
          </w:p>
          <w:p w14:paraId="5DDB80B2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Консултације: среда – 12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-14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  <w:t>h</w:t>
            </w:r>
          </w:p>
          <w:p w14:paraId="48E5144A" w14:textId="77777777" w:rsidR="006464FD" w:rsidRDefault="007E008B">
            <w:pPr>
              <w:rPr>
                <w:rFonts w:asciiTheme="majorHAnsi" w:hAnsiTheme="majorHAnsi"/>
                <w:sz w:val="22"/>
                <w:szCs w:val="22"/>
                <w:vertAlign w:val="superscript"/>
                <w:lang w:val="sr-Latn-RS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Предиспитне консултације: уторак -13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:00 </w:t>
            </w: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-15</w:t>
            </w:r>
            <w:r>
              <w:rPr>
                <w:rFonts w:asciiTheme="majorHAnsi" w:hAnsiTheme="majorHAnsi"/>
                <w:sz w:val="22"/>
                <w:szCs w:val="22"/>
                <w:lang w:val="en-US"/>
              </w:rPr>
              <w:t>:</w:t>
            </w:r>
            <w:r>
              <w:rPr>
                <w:rFonts w:asciiTheme="majorHAnsi" w:hAnsiTheme="majorHAnsi"/>
                <w:sz w:val="22"/>
                <w:szCs w:val="22"/>
                <w:lang w:val="sr-Latn-RS"/>
              </w:rPr>
              <w:t xml:space="preserve">00 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  <w:lang w:val="sr-Cyrl-CS"/>
              </w:rPr>
              <w:t>h</w:t>
            </w:r>
          </w:p>
          <w:p w14:paraId="17483CBE" w14:textId="77777777" w:rsidR="006464FD" w:rsidRDefault="007E008B">
            <w:pPr>
              <w:rPr>
                <w:rFonts w:asciiTheme="majorHAnsi" w:hAnsiTheme="majorHAnsi"/>
                <w:color w:val="FF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  <w:lang w:val="sr-Cyrl-CS"/>
              </w:rPr>
              <w:t>(недељу дана пре заказаног испита)</w:t>
            </w:r>
          </w:p>
        </w:tc>
      </w:tr>
    </w:tbl>
    <w:p w14:paraId="76E7C96D" w14:textId="77777777" w:rsidR="006464FD" w:rsidRDefault="006464FD">
      <w:pPr>
        <w:rPr>
          <w:rFonts w:asciiTheme="majorHAnsi" w:hAnsiTheme="majorHAnsi"/>
          <w:sz w:val="22"/>
          <w:szCs w:val="22"/>
          <w:lang w:val="sr-Cyrl-CS"/>
        </w:rPr>
      </w:pPr>
    </w:p>
    <w:p w14:paraId="352750E9" w14:textId="77777777" w:rsidR="006464FD" w:rsidRDefault="006464FD">
      <w:pPr>
        <w:ind w:firstLine="720"/>
        <w:jc w:val="both"/>
        <w:rPr>
          <w:rFonts w:asciiTheme="majorHAnsi" w:hAnsiTheme="majorHAnsi"/>
          <w:sz w:val="22"/>
          <w:szCs w:val="22"/>
          <w:lang w:val="sr-Cyrl-CS"/>
        </w:rPr>
      </w:pPr>
    </w:p>
    <w:p w14:paraId="4057CD4A" w14:textId="77777777" w:rsidR="006464FD" w:rsidRDefault="006464FD">
      <w:pPr>
        <w:outlineLvl w:val="0"/>
        <w:rPr>
          <w:rFonts w:asciiTheme="majorHAnsi" w:hAnsiTheme="majorHAnsi"/>
          <w:b/>
          <w:sz w:val="22"/>
          <w:szCs w:val="22"/>
          <w:lang w:val="sr-Latn-RS"/>
        </w:rPr>
      </w:pPr>
    </w:p>
    <w:p w14:paraId="036B7723" w14:textId="77777777" w:rsidR="006464FD" w:rsidRDefault="007E008B">
      <w:pPr>
        <w:ind w:firstLine="720"/>
        <w:jc w:val="center"/>
        <w:outlineLvl w:val="0"/>
        <w:rPr>
          <w:rFonts w:asciiTheme="majorHAnsi" w:hAnsiTheme="majorHAnsi"/>
          <w:b/>
          <w:sz w:val="22"/>
          <w:szCs w:val="22"/>
          <w:lang w:val="sr-Cyrl-CS"/>
        </w:rPr>
      </w:pPr>
      <w:r>
        <w:rPr>
          <w:rFonts w:asciiTheme="majorHAnsi" w:hAnsiTheme="majorHAnsi"/>
          <w:b/>
          <w:sz w:val="22"/>
          <w:szCs w:val="22"/>
          <w:lang w:val="sr-Cyrl-CS"/>
        </w:rPr>
        <w:t xml:space="preserve">Испитна </w:t>
      </w:r>
      <w:r>
        <w:rPr>
          <w:rFonts w:asciiTheme="majorHAnsi" w:hAnsiTheme="majorHAnsi"/>
          <w:b/>
          <w:sz w:val="22"/>
          <w:szCs w:val="22"/>
          <w:lang w:val="sr-Cyrl-CS"/>
        </w:rPr>
        <w:t>питања за предмет Основи права вештачке интелигенције</w:t>
      </w:r>
    </w:p>
    <w:p w14:paraId="4CC638BB" w14:textId="77777777" w:rsidR="006464FD" w:rsidRDefault="006464FD">
      <w:pPr>
        <w:jc w:val="both"/>
        <w:rPr>
          <w:rFonts w:asciiTheme="majorHAnsi" w:hAnsiTheme="majorHAnsi"/>
          <w:sz w:val="22"/>
          <w:szCs w:val="22"/>
          <w:lang w:val="sr-Cyrl-CS"/>
        </w:rPr>
      </w:pPr>
    </w:p>
    <w:p w14:paraId="58D414AB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Појам, предмет и значај херменеутике</w:t>
      </w:r>
    </w:p>
    <w:p w14:paraId="15C68B9C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Настанак и развој херменеутике</w:t>
      </w:r>
    </w:p>
    <w:p w14:paraId="636F807B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Појам и предмет правне херменеутике</w:t>
      </w:r>
    </w:p>
    <w:p w14:paraId="58F1113A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 xml:space="preserve">Значај правне херменеутике </w:t>
      </w:r>
    </w:p>
    <w:p w14:paraId="01C072DA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Значење и тумачење права</w:t>
      </w:r>
    </w:p>
    <w:p w14:paraId="488ED9F1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Логичке основе значења</w:t>
      </w:r>
    </w:p>
    <w:p w14:paraId="29539138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 xml:space="preserve">Носиоци </w:t>
      </w:r>
      <w:r>
        <w:rPr>
          <w:rFonts w:ascii="Times New Roman" w:hAnsi="Times New Roman"/>
          <w:sz w:val="20"/>
          <w:szCs w:val="20"/>
          <w:lang w:val="sr-Cyrl-RS"/>
        </w:rPr>
        <w:t>значења</w:t>
      </w:r>
    </w:p>
    <w:p w14:paraId="13812112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Основи објективног значења</w:t>
      </w:r>
    </w:p>
    <w:p w14:paraId="1927C5F1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Логички суд, појам и врсте</w:t>
      </w:r>
    </w:p>
    <w:p w14:paraId="26913CEE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Императивни и нормативни суд</w:t>
      </w:r>
    </w:p>
    <w:p w14:paraId="45552557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Тумачење нормативитета и тумачење права</w:t>
      </w:r>
    </w:p>
    <w:p w14:paraId="68833105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Врсте тумача права</w:t>
      </w:r>
    </w:p>
    <w:p w14:paraId="57989C7E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Службено тумачење</w:t>
      </w:r>
    </w:p>
    <w:p w14:paraId="03443AD4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Лаичко тумачење</w:t>
      </w:r>
    </w:p>
    <w:p w14:paraId="6F203795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Правно научно тумачење</w:t>
      </w:r>
    </w:p>
    <w:p w14:paraId="269263C5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Поступак тумачења права</w:t>
      </w:r>
    </w:p>
    <w:p w14:paraId="1C3C7684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lastRenderedPageBreak/>
        <w:t>Средства тумачења права</w:t>
      </w:r>
    </w:p>
    <w:p w14:paraId="373E4E4C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Ј</w:t>
      </w:r>
      <w:r>
        <w:rPr>
          <w:rFonts w:ascii="Times New Roman" w:hAnsi="Times New Roman"/>
          <w:sz w:val="20"/>
          <w:szCs w:val="20"/>
          <w:lang w:val="sr-Cyrl-RS"/>
        </w:rPr>
        <w:t>езичко тумачење права</w:t>
      </w:r>
    </w:p>
    <w:p w14:paraId="50D36619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Слободно тумачење</w:t>
      </w:r>
    </w:p>
    <w:p w14:paraId="1F95ACB7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Везано тумачење</w:t>
      </w:r>
    </w:p>
    <w:p w14:paraId="6FD944B4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Субјективно</w:t>
      </w:r>
      <w:proofErr w:type="spellEnd"/>
      <w:r>
        <w:rPr>
          <w:rFonts w:ascii="Times New Roman" w:hAnsi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sz w:val="20"/>
          <w:szCs w:val="20"/>
        </w:rPr>
        <w:t>објективно</w:t>
      </w:r>
      <w:proofErr w:type="spellEnd"/>
      <w:r>
        <w:rPr>
          <w:rFonts w:ascii="Times New Roman" w:hAnsi="Times New Roman"/>
          <w:sz w:val="20"/>
          <w:szCs w:val="20"/>
          <w:lang w:val="sr-Cyrl-RS"/>
        </w:rPr>
        <w:t xml:space="preserve"> тумачење</w:t>
      </w:r>
    </w:p>
    <w:p w14:paraId="3B70F257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Статичко</w:t>
      </w:r>
      <w:proofErr w:type="spellEnd"/>
      <w:r>
        <w:rPr>
          <w:rFonts w:ascii="Times New Roman" w:hAnsi="Times New Roman"/>
          <w:sz w:val="20"/>
          <w:szCs w:val="20"/>
        </w:rPr>
        <w:t xml:space="preserve"> и </w:t>
      </w:r>
      <w:proofErr w:type="spellStart"/>
      <w:r>
        <w:rPr>
          <w:rFonts w:ascii="Times New Roman" w:hAnsi="Times New Roman"/>
          <w:sz w:val="20"/>
          <w:szCs w:val="20"/>
        </w:rPr>
        <w:t>еволуционистичко</w:t>
      </w:r>
      <w:proofErr w:type="spellEnd"/>
      <w:r>
        <w:rPr>
          <w:rFonts w:ascii="Times New Roman" w:hAnsi="Times New Roman"/>
          <w:sz w:val="20"/>
          <w:szCs w:val="20"/>
          <w:lang w:val="sr-Cyrl-RS"/>
        </w:rPr>
        <w:t xml:space="preserve"> тумачење</w:t>
      </w:r>
    </w:p>
    <w:p w14:paraId="328EC782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Смисао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правог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значења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правне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норме</w:t>
      </w:r>
      <w:proofErr w:type="spellEnd"/>
    </w:p>
    <w:p w14:paraId="444BA488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Д</w:t>
      </w:r>
      <w:proofErr w:type="spellStart"/>
      <w:r>
        <w:rPr>
          <w:rFonts w:ascii="Times New Roman" w:hAnsi="Times New Roman"/>
          <w:sz w:val="20"/>
          <w:szCs w:val="20"/>
        </w:rPr>
        <w:t>омети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тумачења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права</w:t>
      </w:r>
      <w:proofErr w:type="spellEnd"/>
    </w:p>
    <w:p w14:paraId="72851E12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Логичко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тумачење</w:t>
      </w:r>
      <w:proofErr w:type="spellEnd"/>
    </w:p>
    <w:p w14:paraId="5093E127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sr-Cyrl-RS"/>
        </w:rPr>
        <w:t>П</w:t>
      </w:r>
      <w:r>
        <w:rPr>
          <w:rFonts w:ascii="Times New Roman" w:hAnsi="Times New Roman"/>
          <w:sz w:val="20"/>
          <w:szCs w:val="20"/>
          <w:lang w:val="ru-RU"/>
        </w:rPr>
        <w:t xml:space="preserve">римена логичких методолошких правила у </w:t>
      </w:r>
      <w:r>
        <w:rPr>
          <w:rFonts w:ascii="Times New Roman" w:hAnsi="Times New Roman"/>
          <w:sz w:val="20"/>
          <w:szCs w:val="20"/>
          <w:lang w:val="ru-RU"/>
        </w:rPr>
        <w:t>тумачењу права</w:t>
      </w:r>
    </w:p>
    <w:p w14:paraId="00CDF011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Аналогија</w:t>
      </w:r>
      <w:proofErr w:type="spellEnd"/>
    </w:p>
    <w:p w14:paraId="2D6BCEB2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Р</w:t>
      </w:r>
      <w:proofErr w:type="spellStart"/>
      <w:r>
        <w:rPr>
          <w:rFonts w:ascii="Times New Roman" w:hAnsi="Times New Roman"/>
          <w:sz w:val="20"/>
          <w:szCs w:val="20"/>
        </w:rPr>
        <w:t>азлог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супротности</w:t>
      </w:r>
      <w:proofErr w:type="spellEnd"/>
    </w:p>
    <w:p w14:paraId="5AA96962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Природа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изузетка</w:t>
      </w:r>
      <w:proofErr w:type="spellEnd"/>
    </w:p>
    <w:p w14:paraId="34913F38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Систематско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тумачење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права</w:t>
      </w:r>
      <w:proofErr w:type="spellEnd"/>
    </w:p>
    <w:p w14:paraId="03059065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Историјско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тумачење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права</w:t>
      </w:r>
      <w:proofErr w:type="spellEnd"/>
    </w:p>
    <w:p w14:paraId="40038228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Циљно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тумачење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права</w:t>
      </w:r>
      <w:proofErr w:type="spellEnd"/>
    </w:p>
    <w:p w14:paraId="1349B416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Научни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појмовни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смисао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тумачења</w:t>
      </w:r>
      <w:proofErr w:type="spellEnd"/>
    </w:p>
    <w:p w14:paraId="1DAE43D9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Нормна релација као предмет тумачења</w:t>
      </w:r>
    </w:p>
    <w:p w14:paraId="0973A6E7" w14:textId="77777777" w:rsidR="006464FD" w:rsidRDefault="007E008B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sr-Cyrl-RS"/>
        </w:rPr>
        <w:t>Појмовна релација као предмет тумачења</w:t>
      </w:r>
    </w:p>
    <w:p w14:paraId="2238D7FF" w14:textId="77777777" w:rsidR="006464FD" w:rsidRDefault="007E008B">
      <w:pPr>
        <w:jc w:val="center"/>
        <w:rPr>
          <w:rFonts w:asciiTheme="majorHAnsi" w:hAnsiTheme="majorHAnsi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Theme="majorHAnsi" w:hAnsiTheme="majorHAnsi"/>
          <w:b/>
          <w:bCs/>
          <w:color w:val="000000" w:themeColor="text1"/>
          <w:sz w:val="22"/>
          <w:szCs w:val="22"/>
          <w:shd w:val="clear" w:color="auto" w:fill="FFFFFF"/>
        </w:rPr>
        <w:t>Оквирна листа тема завршних радова</w:t>
      </w:r>
    </w:p>
    <w:p w14:paraId="70E61EDD" w14:textId="77777777" w:rsidR="006464FD" w:rsidRDefault="006464FD">
      <w:pPr>
        <w:jc w:val="both"/>
        <w:rPr>
          <w:rFonts w:asciiTheme="majorHAnsi" w:hAnsiTheme="majorHAnsi"/>
          <w:b/>
          <w:bCs/>
          <w:color w:val="000000" w:themeColor="text1"/>
          <w:sz w:val="22"/>
          <w:szCs w:val="22"/>
          <w:lang w:val="sr-Cyrl-CS"/>
        </w:rPr>
      </w:pPr>
    </w:p>
    <w:p w14:paraId="10DB55A6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Средства тумачења права</w:t>
      </w:r>
    </w:p>
    <w:p w14:paraId="363449CB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Врсте тумачења права</w:t>
      </w:r>
    </w:p>
    <w:p w14:paraId="38C36842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Врсте тумача права</w:t>
      </w:r>
    </w:p>
    <w:p w14:paraId="4FDC4D21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RS"/>
        </w:rPr>
        <w:t>Аутентично</w:t>
      </w:r>
      <w:r>
        <w:rPr>
          <w:rFonts w:ascii="Times New Roman" w:hAnsi="Times New Roman"/>
          <w:sz w:val="20"/>
          <w:szCs w:val="20"/>
          <w:lang w:val="sr-Cyrl-RS"/>
        </w:rPr>
        <w:t xml:space="preserve"> тумачење</w:t>
      </w:r>
    </w:p>
    <w:p w14:paraId="68081C67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RS"/>
        </w:rPr>
        <w:t>Језичко тумачење</w:t>
      </w:r>
    </w:p>
    <w:p w14:paraId="54036602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Правна празнина и начини њеног попуњавања</w:t>
      </w:r>
    </w:p>
    <w:p w14:paraId="58C71125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Облици логичког тумачења права</w:t>
      </w:r>
    </w:p>
    <w:p w14:paraId="0F065010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Историјско тумачење права</w:t>
      </w:r>
    </w:p>
    <w:p w14:paraId="04CF9243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Систематско тумачење права</w:t>
      </w:r>
    </w:p>
    <w:p w14:paraId="294BB2EF" w14:textId="77777777" w:rsidR="006464FD" w:rsidRDefault="007E00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Циљно тумачење права</w:t>
      </w:r>
    </w:p>
    <w:p w14:paraId="66D70D1A" w14:textId="77777777" w:rsidR="006464FD" w:rsidRDefault="006464FD">
      <w:pPr>
        <w:ind w:left="360"/>
        <w:jc w:val="both"/>
        <w:rPr>
          <w:rFonts w:asciiTheme="majorHAnsi" w:hAnsiTheme="majorHAnsi"/>
          <w:b/>
          <w:bCs/>
          <w:color w:val="000000" w:themeColor="text1"/>
          <w:sz w:val="22"/>
          <w:szCs w:val="22"/>
          <w:lang w:val="sr-Cyrl-CS"/>
        </w:rPr>
      </w:pPr>
    </w:p>
    <w:sectPr w:rsidR="006464FD">
      <w:pgSz w:w="11907" w:h="16840"/>
      <w:pgMar w:top="1418" w:right="1418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833C7"/>
    <w:multiLevelType w:val="multilevel"/>
    <w:tmpl w:val="3C6833C7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77246CE4"/>
    <w:multiLevelType w:val="multilevel"/>
    <w:tmpl w:val="77246C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88"/>
    <w:rsid w:val="0005367B"/>
    <w:rsid w:val="000C1B24"/>
    <w:rsid w:val="000D29B2"/>
    <w:rsid w:val="000E347D"/>
    <w:rsid w:val="000F3FC2"/>
    <w:rsid w:val="00130067"/>
    <w:rsid w:val="0015728B"/>
    <w:rsid w:val="0018276B"/>
    <w:rsid w:val="001C7964"/>
    <w:rsid w:val="001D6B19"/>
    <w:rsid w:val="00236E23"/>
    <w:rsid w:val="00285150"/>
    <w:rsid w:val="002975D6"/>
    <w:rsid w:val="002B5C9E"/>
    <w:rsid w:val="002E6788"/>
    <w:rsid w:val="002E793B"/>
    <w:rsid w:val="002F3F0F"/>
    <w:rsid w:val="00305DBA"/>
    <w:rsid w:val="00330F6A"/>
    <w:rsid w:val="0034211F"/>
    <w:rsid w:val="00357ADD"/>
    <w:rsid w:val="003645F1"/>
    <w:rsid w:val="00365883"/>
    <w:rsid w:val="003C6CBA"/>
    <w:rsid w:val="003D06AC"/>
    <w:rsid w:val="003E202A"/>
    <w:rsid w:val="0040328F"/>
    <w:rsid w:val="00414F8E"/>
    <w:rsid w:val="004673EF"/>
    <w:rsid w:val="00493917"/>
    <w:rsid w:val="0049516C"/>
    <w:rsid w:val="004A10FE"/>
    <w:rsid w:val="004B5128"/>
    <w:rsid w:val="004C094B"/>
    <w:rsid w:val="004D7F54"/>
    <w:rsid w:val="004E26AB"/>
    <w:rsid w:val="00572FA1"/>
    <w:rsid w:val="005C2CAC"/>
    <w:rsid w:val="005E6743"/>
    <w:rsid w:val="005F477B"/>
    <w:rsid w:val="005F52E4"/>
    <w:rsid w:val="0062465E"/>
    <w:rsid w:val="006342FE"/>
    <w:rsid w:val="006464FD"/>
    <w:rsid w:val="0066200A"/>
    <w:rsid w:val="006B445D"/>
    <w:rsid w:val="006B6364"/>
    <w:rsid w:val="006C3ECD"/>
    <w:rsid w:val="006D0474"/>
    <w:rsid w:val="006F3098"/>
    <w:rsid w:val="007065E5"/>
    <w:rsid w:val="00726DD1"/>
    <w:rsid w:val="007275AC"/>
    <w:rsid w:val="007D2364"/>
    <w:rsid w:val="007E008B"/>
    <w:rsid w:val="007E5DDA"/>
    <w:rsid w:val="00830BE0"/>
    <w:rsid w:val="00835F5F"/>
    <w:rsid w:val="00847FA4"/>
    <w:rsid w:val="008654F9"/>
    <w:rsid w:val="008E0588"/>
    <w:rsid w:val="009258DD"/>
    <w:rsid w:val="0098213B"/>
    <w:rsid w:val="009839F5"/>
    <w:rsid w:val="009973E8"/>
    <w:rsid w:val="009D20C6"/>
    <w:rsid w:val="009E0228"/>
    <w:rsid w:val="00A0339A"/>
    <w:rsid w:val="00A209EB"/>
    <w:rsid w:val="00A2798C"/>
    <w:rsid w:val="00A349E9"/>
    <w:rsid w:val="00A3537F"/>
    <w:rsid w:val="00A35FC2"/>
    <w:rsid w:val="00A56C15"/>
    <w:rsid w:val="00A82FFE"/>
    <w:rsid w:val="00A9251E"/>
    <w:rsid w:val="00AD72E1"/>
    <w:rsid w:val="00B000CA"/>
    <w:rsid w:val="00B02AA1"/>
    <w:rsid w:val="00B058D9"/>
    <w:rsid w:val="00B06A61"/>
    <w:rsid w:val="00B44F9F"/>
    <w:rsid w:val="00B649B1"/>
    <w:rsid w:val="00B969A2"/>
    <w:rsid w:val="00BA49F3"/>
    <w:rsid w:val="00BC3819"/>
    <w:rsid w:val="00BD515F"/>
    <w:rsid w:val="00BE1B94"/>
    <w:rsid w:val="00C15C4F"/>
    <w:rsid w:val="00C25DEF"/>
    <w:rsid w:val="00C82BB2"/>
    <w:rsid w:val="00C971C3"/>
    <w:rsid w:val="00D04929"/>
    <w:rsid w:val="00D15F1E"/>
    <w:rsid w:val="00D602CE"/>
    <w:rsid w:val="00D75708"/>
    <w:rsid w:val="00D827E3"/>
    <w:rsid w:val="00DA5D96"/>
    <w:rsid w:val="00DC0935"/>
    <w:rsid w:val="00DE56A7"/>
    <w:rsid w:val="00E05074"/>
    <w:rsid w:val="00E17723"/>
    <w:rsid w:val="00E31166"/>
    <w:rsid w:val="00EA00EE"/>
    <w:rsid w:val="00EB6A01"/>
    <w:rsid w:val="00EC32AB"/>
    <w:rsid w:val="00EF7E61"/>
    <w:rsid w:val="00F062D8"/>
    <w:rsid w:val="00F40287"/>
    <w:rsid w:val="00F462FF"/>
    <w:rsid w:val="00F95EE2"/>
    <w:rsid w:val="00FA7017"/>
    <w:rsid w:val="00FD0648"/>
    <w:rsid w:val="15B346D7"/>
    <w:rsid w:val="279C532A"/>
    <w:rsid w:val="37087D82"/>
    <w:rsid w:val="393B2551"/>
    <w:rsid w:val="39554D50"/>
    <w:rsid w:val="45CC5F92"/>
    <w:rsid w:val="50F54DAB"/>
    <w:rsid w:val="5A7E394F"/>
    <w:rsid w:val="64A3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r-Cyrl-RS" w:eastAsia="zh-CN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eastAsia="Times New Roman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pPr>
      <w:ind w:left="1080" w:right="360"/>
      <w:jc w:val="both"/>
    </w:pPr>
    <w:rPr>
      <w:rFonts w:eastAsia="Times New Roman"/>
      <w:lang w:val="sr-Cyrl-CS" w:eastAsia="en-US"/>
    </w:rPr>
  </w:style>
  <w:style w:type="paragraph" w:styleId="BodyText">
    <w:name w:val="Body Text"/>
    <w:basedOn w:val="Normal"/>
    <w:link w:val="BodyTextChar"/>
    <w:qFormat/>
    <w:pPr>
      <w:widowControl w:val="0"/>
      <w:autoSpaceDE w:val="0"/>
      <w:autoSpaceDN w:val="0"/>
      <w:adjustRightInd w:val="0"/>
    </w:pPr>
    <w:rPr>
      <w:rFonts w:eastAsia="Times New Roman"/>
      <w:lang w:val="sr-Latn-CS" w:eastAsia="sr-Latn-CS"/>
    </w:rPr>
  </w:style>
  <w:style w:type="paragraph" w:styleId="BodyText2">
    <w:name w:val="Body Text 2"/>
    <w:basedOn w:val="Normal"/>
    <w:link w:val="BodyText2Char"/>
    <w:qFormat/>
    <w:pPr>
      <w:widowControl w:val="0"/>
      <w:autoSpaceDE w:val="0"/>
      <w:autoSpaceDN w:val="0"/>
      <w:adjustRightInd w:val="0"/>
      <w:spacing w:after="120" w:line="480" w:lineRule="auto"/>
    </w:pPr>
    <w:rPr>
      <w:rFonts w:eastAsia="Times New Roman"/>
      <w:sz w:val="20"/>
      <w:szCs w:val="20"/>
      <w:lang w:val="sr-Latn-CS" w:eastAsia="sr-Latn-CS"/>
    </w:rPr>
  </w:style>
  <w:style w:type="paragraph" w:styleId="BodyText3">
    <w:name w:val="Body Text 3"/>
    <w:basedOn w:val="Normal"/>
    <w:link w:val="BodyText3Char"/>
    <w:qFormat/>
    <w:rPr>
      <w:rFonts w:ascii="Arial" w:hAnsi="Arial"/>
      <w:color w:val="000000"/>
      <w:sz w:val="20"/>
      <w:lang w:val="sr-Latn-CS" w:eastAsia="en-US"/>
    </w:rPr>
  </w:style>
  <w:style w:type="paragraph" w:styleId="BodyTextIndent">
    <w:name w:val="Body Text Indent"/>
    <w:basedOn w:val="Normal"/>
    <w:link w:val="BodyTextIndentChar"/>
    <w:qFormat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20"/>
      <w:szCs w:val="20"/>
      <w:lang w:val="sr-Latn-CS" w:eastAsia="sr-Latn-CS"/>
    </w:rPr>
  </w:style>
  <w:style w:type="paragraph" w:styleId="Caption">
    <w:name w:val="caption"/>
    <w:basedOn w:val="Normal"/>
    <w:next w:val="Normal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0"/>
      <w:szCs w:val="20"/>
      <w:lang w:val="sr-Latn-CS" w:eastAsia="sr-Latn-CS"/>
    </w:rPr>
  </w:style>
  <w:style w:type="paragraph" w:styleId="CommentText">
    <w:name w:val="annotation text"/>
    <w:basedOn w:val="Normal"/>
    <w:link w:val="CommentTextChar"/>
    <w:qFormat/>
    <w:rPr>
      <w:rFonts w:eastAsia="Times New Roman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noteText">
    <w:name w:val="footnote text"/>
    <w:basedOn w:val="Normal"/>
    <w:link w:val="FootnoteTextChar"/>
    <w:semiHidden/>
    <w:qFormat/>
    <w:rPr>
      <w:rFonts w:eastAsia="Times New Roman"/>
      <w:sz w:val="20"/>
      <w:szCs w:val="20"/>
      <w:lang w:val="en-US" w:eastAsia="en-US"/>
    </w:rPr>
  </w:style>
  <w:style w:type="paragraph" w:styleId="HTMLPreformatted">
    <w:name w:val="HTML Preformatted"/>
    <w:basedOn w:val="Normal"/>
    <w:link w:val="HTMLPreformatted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table" w:styleId="TableGrid">
    <w:name w:val="Table Grid"/>
    <w:basedOn w:val="TableNormal"/>
    <w:qFormat/>
    <w:rPr>
      <w:rFonts w:eastAsia="Times New Roman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qFormat/>
    <w:rPr>
      <w:rFonts w:ascii="Arial" w:eastAsia="Times New Roman" w:hAnsi="Arial" w:cs="Arial"/>
      <w:b/>
      <w:bCs/>
      <w:i/>
      <w:iCs/>
      <w:sz w:val="28"/>
      <w:szCs w:val="28"/>
      <w:lang w:val="sr-Cyrl-RS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b/>
      <w:sz w:val="24"/>
      <w:szCs w:val="20"/>
      <w:lang w:val="sr-Cyrl-RS"/>
    </w:rPr>
  </w:style>
  <w:style w:type="character" w:customStyle="1" w:styleId="Heading4Char">
    <w:name w:val="Heading 4 Char"/>
    <w:basedOn w:val="DefaultParagraphFont"/>
    <w:link w:val="Heading4"/>
    <w:qFormat/>
    <w:rPr>
      <w:rFonts w:ascii="Times New Roman" w:eastAsia="Times New Roman" w:hAnsi="Times New Roman" w:cs="Times New Roman"/>
      <w:b/>
      <w:bCs/>
      <w:sz w:val="28"/>
      <w:szCs w:val="28"/>
      <w:lang w:val="sr-Cyrl-RS"/>
    </w:rPr>
  </w:style>
  <w:style w:type="character" w:customStyle="1" w:styleId="BodyText3Char">
    <w:name w:val="Body Text 3 Char"/>
    <w:basedOn w:val="DefaultParagraphFont"/>
    <w:link w:val="BodyText3"/>
    <w:qFormat/>
    <w:rPr>
      <w:rFonts w:ascii="Arial" w:eastAsia="SimSun" w:hAnsi="Arial" w:cs="Times New Roman"/>
      <w:color w:val="000000"/>
      <w:sz w:val="20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qFormat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harCharCharChar">
    <w:name w:val="Char Char Char Char"/>
    <w:basedOn w:val="Normal"/>
    <w:semiHidden/>
    <w:qFormat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qFormat/>
    <w:rPr>
      <w:rFonts w:ascii="Courier New" w:eastAsia="SimSun" w:hAnsi="Courier New" w:cs="Courier New"/>
      <w:sz w:val="20"/>
      <w:szCs w:val="20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SimSun" w:hAnsi="Tahoma" w:cs="Tahoma"/>
      <w:sz w:val="16"/>
      <w:szCs w:val="16"/>
      <w:lang w:val="sr-Cyrl-RS" w:eastAsia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jovanovic\AppData\Local\Microsoft\Windows\Temporary%20Internet%20Files\Content.Outlook\FKNEMQCK\lpetrovic@jura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vkovic@jura.k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atic@jura.kg.ac.rs" TargetMode="External"/><Relationship Id="rId5" Type="http://schemas.openxmlformats.org/officeDocument/2006/relationships/hyperlink" Target="mailto:sdjordjevic@jura.kg.ac.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5406</Characters>
  <Application>Microsoft Office Word</Application>
  <DocSecurity>0</DocSecurity>
  <Lines>45</Lines>
  <Paragraphs>12</Paragraphs>
  <ScaleCrop>false</ScaleCrop>
  <Company>Hewlett-Packard Company</Company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Djordjevic</dc:creator>
  <cp:lastModifiedBy>Administrator</cp:lastModifiedBy>
  <cp:revision>2</cp:revision>
  <dcterms:created xsi:type="dcterms:W3CDTF">2026-09-24T08:13:00Z</dcterms:created>
  <dcterms:modified xsi:type="dcterms:W3CDTF">2026-09-24T08:13:00Z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E28C7B5381834AB99598E8510E3BEF12_13</vt:lpwstr>
  </property>
  <property fmtid="{D5CDD505-2E9C-101B-9397-08002B2CF9AE}" pid="4" name="KSOTemplateDocerSaveRecord">
    <vt:lpwstr>eyJoZGlkIjoiZDg4ODljZWQ3NTc2YjBhN2FlMzZlYzUyODAxZmIxMGYiLCJ1c2VySWQiOiI4MTI2NjUwODM1ODIwIn0=</vt:lpwstr>
  </property>
</Properties>
</file>