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BEC" w14:textId="77777777" w:rsidR="00DE56FE" w:rsidRPr="00C724DA" w:rsidRDefault="00DE56FE" w:rsidP="00DE56FE">
      <w:pPr>
        <w:jc w:val="both"/>
        <w:rPr>
          <w:lang w:val="sr-Cyrl-RS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DE56FE" w:rsidRPr="00323ED7" w14:paraId="686FFF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4D317A" w14:textId="77777777" w:rsidR="00DE56FE" w:rsidRPr="00A30EB6" w:rsidRDefault="00DE56FE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DE56FE" w:rsidRPr="00A30EB6" w14:paraId="0B4449DE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7CCE1" w14:textId="77777777" w:rsidR="00DE56FE" w:rsidRPr="00A30EB6" w:rsidRDefault="00DE56FE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53B966D" w14:textId="77777777" w:rsidR="00DE56FE" w:rsidRPr="005B481A" w:rsidRDefault="00DE56FE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СВЕТСКЕ </w:t>
            </w:r>
            <w:r w:rsidRPr="005B481A">
              <w:rPr>
                <w:szCs w:val="24"/>
                <w:lang w:val="sr-Cyrl-CS"/>
              </w:rPr>
              <w:t>УСТАВНОСТ</w:t>
            </w:r>
            <w:r>
              <w:rPr>
                <w:szCs w:val="24"/>
                <w:lang w:val="sr-Cyrl-CS"/>
              </w:rPr>
              <w:t>И</w:t>
            </w:r>
          </w:p>
          <w:p w14:paraId="1A06A067" w14:textId="77777777" w:rsidR="00DE56FE" w:rsidRPr="00654F06" w:rsidRDefault="00DE56FE" w:rsidP="007A0240">
            <w:pPr>
              <w:rPr>
                <w:lang w:val="sr-Cyrl-CS"/>
              </w:rPr>
            </w:pPr>
          </w:p>
        </w:tc>
      </w:tr>
      <w:tr w:rsidR="00DE56FE" w:rsidRPr="00A30EB6" w14:paraId="2F5A6F0D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0D6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B83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4ED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BF8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D4E" w14:textId="77777777" w:rsidR="00DE56FE" w:rsidRPr="00A30EB6" w:rsidRDefault="00DE56FE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DE56FE" w:rsidRPr="00A30EB6" w14:paraId="1BC1F140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06E9" w14:textId="77777777" w:rsidR="00DE56FE" w:rsidRPr="00A30EB6" w:rsidRDefault="00DE56FE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388" w14:textId="77777777" w:rsidR="00DE56FE" w:rsidRPr="00A30EB6" w:rsidRDefault="00DE56FE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EE8" w14:textId="77777777" w:rsidR="00DE56FE" w:rsidRPr="00A30EB6" w:rsidRDefault="00DE56FE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6B3" w14:textId="77777777" w:rsidR="00DE56FE" w:rsidRPr="00A30EB6" w:rsidRDefault="00DE56FE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ADD" w14:textId="77777777" w:rsidR="00DE56FE" w:rsidRPr="00A30EB6" w:rsidRDefault="00DE56FE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7A50EA3B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DE56FE" w:rsidRPr="00323ED7" w14:paraId="173D043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CC4D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6AFC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Стицање продубљених знања о настанку и обликовању модерних државних организација и о развитку права грађана.</w:t>
            </w:r>
          </w:p>
        </w:tc>
      </w:tr>
      <w:tr w:rsidR="00DE56FE" w:rsidRPr="00323ED7" w14:paraId="604776E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7996" w14:textId="77777777"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224B" w14:textId="77777777" w:rsidR="00DE56FE" w:rsidRPr="00993664" w:rsidRDefault="00DE56FE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Утемељено правничко мишљење на примерима кључних института јавног права; однегована свест о достигнутим правним стандардима у сфери државног уређења и права грађана.</w:t>
            </w:r>
          </w:p>
        </w:tc>
      </w:tr>
      <w:tr w:rsidR="00DE56FE" w:rsidRPr="00323ED7" w14:paraId="78A83112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094" w14:textId="77777777" w:rsidR="00DE56FE" w:rsidRPr="00700A73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1347D89F" w14:textId="77777777" w:rsidR="00DE56FE" w:rsidRPr="00C20AA9" w:rsidRDefault="00DE56FE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10D8" w14:textId="77777777" w:rsidR="00DE56F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2F57F6">
              <w:rPr>
                <w:sz w:val="22"/>
                <w:szCs w:val="22"/>
                <w:lang w:val="sr-Cyrl-CS"/>
              </w:rPr>
              <w:t xml:space="preserve">Карактеристични </w:t>
            </w:r>
            <w:r>
              <w:rPr>
                <w:sz w:val="22"/>
                <w:szCs w:val="22"/>
                <w:lang w:val="sr-Cyrl-CS"/>
              </w:rPr>
              <w:t>устави у појединим периодима и развитак карактеристичних института уставног права, као што су питања организације представничког тела, питање положаја шефа државе, питање организације врховне извршне власти и њене контроле, питање уставног уређења судске власти; посебан круг питања односи се на развитак корпуса људских права, од заштите од противправног хапшења, преко слободе политичког изражавања, до мањинских и социјалних права.</w:t>
            </w:r>
          </w:p>
          <w:p w14:paraId="3BE91A71" w14:textId="77777777"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76F7F71" w14:textId="77777777" w:rsidR="00DE56FE" w:rsidRPr="00C20AA9" w:rsidRDefault="00DE56FE" w:rsidP="00DE56FE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DE56FE" w:rsidRPr="00323ED7" w14:paraId="09D65365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E4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295A575D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DE56FE" w:rsidRPr="00A30EB6" w14:paraId="7795D24E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D8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7908BA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2429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36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E5CA7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2646F8B8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3A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D44021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7BC2" w14:textId="77777777"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2E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8A252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0BC0757A" w14:textId="77777777" w:rsidR="00DE56FE" w:rsidRDefault="00DE56FE" w:rsidP="00DE56FE">
      <w:pPr>
        <w:rPr>
          <w:lang w:val="sr-Cyrl-CS"/>
        </w:rPr>
      </w:pPr>
    </w:p>
    <w:p w14:paraId="7167797F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DE56FE" w:rsidRPr="00A30EB6" w14:paraId="316F14F1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9ACF579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6B51F201" w14:textId="77777777"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41BE026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E56FE" w:rsidRPr="00A30EB6" w14:paraId="7BCC10A9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2E22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73E3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CBBE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DE56FE" w:rsidRPr="00A30EB6" w14:paraId="69BD1D72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F06" w14:textId="77777777" w:rsidR="00DE56FE" w:rsidRPr="00A30EB6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E4A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 xml:space="preserve">Питање првог модерног устава; </w:t>
            </w:r>
            <w:r w:rsidRPr="003E7386">
              <w:rPr>
                <w:i/>
                <w:sz w:val="22"/>
                <w:szCs w:val="22"/>
              </w:rPr>
              <w:t>Magna Carta Libertatum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The Agreement of the People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Instrument of Government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Bill of Rights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F85F96B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1BE2D2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7D6FC40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D97D6E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51B2EF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EE64AB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D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31217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DC9CC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776748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6602AE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225B39B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0C2BC4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452AA23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86B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EE54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Рађање и примена идеје о подели власти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9E6C9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D8D402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A4A00F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414762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004746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F277E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7C4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522CC2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2FF6AA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BAC85F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9CAFD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A11E99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4C3C6CE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62D79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496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FC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Декларације о правима човека и грађанина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4996FEF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0BF41B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449AF81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19DE920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95BA5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1974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32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808CFF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1F402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AECD09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0B02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5B8F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A91CB3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3664EAE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E896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58E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Устав САД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BBF61DE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81A4DD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29739F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054562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1F0A82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2D9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C34E2C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3EBEB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CB051B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3C46B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71441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D814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590AA1C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B59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517" w14:textId="77777777"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Француска уставна лабораторија</w:t>
            </w:r>
          </w:p>
          <w:p w14:paraId="2B057271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B041F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844277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29AB5BC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EC765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850FB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DCF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F5DD92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E5F76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F5A565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7B0591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55EA5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20D087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7C2E373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CB9" w14:textId="77777777"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A5F" w14:textId="77777777" w:rsidR="00DE56FE" w:rsidRPr="003E7386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Парламентаризам</w:t>
            </w:r>
          </w:p>
          <w:p w14:paraId="0CDF0BF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3DA302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476684A" w14:textId="77777777"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D8BBF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52EB7E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153D6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07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00F1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4100B5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F2F71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1BD6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CEF55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4B3436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17C4F1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F10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9474" w14:textId="77777777" w:rsidR="00DE56FE" w:rsidRPr="003E7386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Белгијски устав</w:t>
            </w:r>
            <w:r w:rsidRPr="003E738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0C59155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0944CF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45ABAC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7BC9D4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9EB0B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92FC0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3C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2F253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CB41D6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4D8D18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CEA40F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CA39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6C8652F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FAC3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E0EF" w14:textId="77777777" w:rsidR="00DE56FE" w:rsidRPr="00AC1F19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 xml:space="preserve">Немачки тип монархије </w:t>
            </w:r>
          </w:p>
          <w:p w14:paraId="089BFF5A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39FE0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85F8D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9A8F24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6460C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2E1358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4CEDB8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3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7B5D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0CCDDE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E6988B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AE84E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2CB8F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1C137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04507EC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C7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6EDD" w14:textId="77777777" w:rsidR="00DE56FE" w:rsidRPr="00AC1F1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Вајмарски устав</w:t>
            </w:r>
            <w:r w:rsidRPr="00AC1F19">
              <w:rPr>
                <w:sz w:val="20"/>
                <w:szCs w:val="20"/>
                <w:lang w:val="sr-Cyrl-CS"/>
              </w:rPr>
              <w:t xml:space="preserve"> </w:t>
            </w:r>
          </w:p>
          <w:p w14:paraId="465EE8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0D5CD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B0881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61B339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F25558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64E918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DF1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8AD99B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EF19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DB27F1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3C39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319C93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676A32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8E2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58663A8" w14:textId="77777777"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FA9F6AE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1A" w14:textId="77777777" w:rsidR="00DE56FE" w:rsidRDefault="00DE56FE" w:rsidP="007A0240">
            <w:pPr>
              <w:rPr>
                <w:i/>
                <w:sz w:val="22"/>
                <w:szCs w:val="22"/>
                <w:lang w:val="ru-RU"/>
              </w:rPr>
            </w:pPr>
          </w:p>
          <w:p w14:paraId="2CB3CE76" w14:textId="77777777" w:rsidR="00DE56FE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  <w:p w14:paraId="0904557E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lastRenderedPageBreak/>
              <w:t>Модели горњег дома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508756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A64A96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2C4F431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8D8F91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6D8691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74404E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7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D0362D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5F4A05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4B8CEC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E25F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670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73384AC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3C3A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2DA0" w14:textId="77777777" w:rsidR="00DE56FE" w:rsidRPr="00AC1F19" w:rsidRDefault="00DE56FE" w:rsidP="007A0240">
            <w:pPr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Развитак бирачког права и изборни системи</w:t>
            </w:r>
          </w:p>
          <w:p w14:paraId="20CF219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4547E5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22B566D" w14:textId="77777777"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9F75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76F854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C583FE5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4E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006A5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1FD027E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55891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679382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6C3997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9EA0E6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622719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C22D" w14:textId="77777777" w:rsidR="00DE56FE" w:rsidRPr="006B199B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01F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Историја људских права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203350D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017343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53B5C5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151D265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011F9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55259C4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10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0A46C6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EDF45A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67F949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7747A5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861D6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14:paraId="79F2C2E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E68D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59C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Уставне одредбе о извршној власти</w:t>
            </w:r>
          </w:p>
          <w:p w14:paraId="5D3F2B3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B6992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C30C62A" w14:textId="77777777" w:rsidR="00DE56FE" w:rsidRPr="00420C17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62F2C5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AC52C2D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93C65B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74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D13E25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EDF62D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DF011B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3A5B8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1D6010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5A68C09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3C28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0BA" w14:textId="77777777"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Конфедерације и федерације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BB055B3" w14:textId="77777777" w:rsidR="00DE56FE" w:rsidRPr="005639A3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06D47D9C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0E38B6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46713E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117374F0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59E3DF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CD5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1986168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5DDDBE4D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EDA82EA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FDD16E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FC4C29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14:paraId="3EA9175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61F" w14:textId="77777777"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839" w14:textId="77777777"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Социјалистичка уставност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E57D160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A08349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7D5F066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57462B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FB7194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4540FA9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8DADCD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18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FDC0444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469C913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F7B2BF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35285C9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FE34EF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58C5CD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77F09A6C" w14:textId="77777777"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DE56FE" w:rsidRPr="00323ED7" w14:paraId="65ECB28C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282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BCB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 xml:space="preserve">су у вези садржаја са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31B97D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49CFEEE" w14:textId="77777777" w:rsidR="00DE56FE" w:rsidRPr="00A30EB6" w:rsidRDefault="00DE56FE" w:rsidP="007B07B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7B07B8">
              <w:rPr>
                <w:sz w:val="20"/>
                <w:szCs w:val="20"/>
                <w:lang w:val="sr-Cyrl-CS"/>
              </w:rPr>
              <w:t xml:space="preserve">онда се </w:t>
            </w:r>
            <w:r w:rsidR="007B07B8" w:rsidRPr="007B07B8">
              <w:rPr>
                <w:color w:val="000000" w:themeColor="text1"/>
                <w:sz w:val="20"/>
                <w:szCs w:val="20"/>
                <w:lang w:val="sr-Cyrl-CS"/>
              </w:rPr>
              <w:t>она организује најмање у обиму од 27 часова, од чега се</w:t>
            </w:r>
            <w:r w:rsidR="007B07B8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7B07B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DE56FE" w:rsidRPr="00323ED7" w14:paraId="156970F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86A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115C1CFE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5D106D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298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4D8F0F4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A068CE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51E16819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F6368F0" w14:textId="77777777" w:rsidR="00DE56FE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3BDA192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CEC24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A4005E7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652F67D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66AFF67A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078F8FD3" w14:textId="77777777"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298D3B8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A31E537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Студент мож</w:t>
            </w:r>
            <w:r>
              <w:rPr>
                <w:sz w:val="20"/>
                <w:szCs w:val="20"/>
                <w:lang w:val="sr-Cyrl-CS"/>
              </w:rPr>
              <w:t xml:space="preserve">е да изађе на испит ако стекне </w:t>
            </w:r>
            <w:r w:rsidRPr="00C724DA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57333EC7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3FC434A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5FAE5668" w14:textId="77777777" w:rsidR="00DE56FE" w:rsidRPr="000F3178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E35BC88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8E84B3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2C8591F5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B3D300F" w14:textId="77777777"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14:paraId="04FC4D30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7797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DE8B82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49AE826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5C8BF43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15E55C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B0E0829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45C0EAB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AABA70A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6633FA34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7312995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2B91B9DC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093EE30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162562EF" w14:textId="77777777"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335126D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2E7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>
              <w:rPr>
                <w:i/>
                <w:iCs/>
                <w:sz w:val="22"/>
                <w:szCs w:val="22"/>
                <w:lang w:val="sr-Cyrl-CS"/>
              </w:rPr>
              <w:t>Развитак права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44B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BB257DE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43E1B238" w14:textId="77777777" w:rsidR="00DE56FE" w:rsidRPr="00B33E35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Питање броја народних посланика, </w:t>
            </w:r>
            <w:r w:rsidRPr="00691B7E">
              <w:rPr>
                <w:i/>
                <w:sz w:val="22"/>
                <w:szCs w:val="22"/>
                <w:lang w:val="ru-RU"/>
              </w:rPr>
              <w:t>Анали</w:t>
            </w:r>
            <w:r>
              <w:rPr>
                <w:sz w:val="22"/>
                <w:szCs w:val="22"/>
                <w:lang w:val="ru-RU"/>
              </w:rPr>
              <w:t>, 1/2012, стр. 56-82.</w:t>
            </w:r>
          </w:p>
          <w:p w14:paraId="447EEEA0" w14:textId="77777777" w:rsidR="00DE56FE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800 година </w:t>
            </w:r>
            <w:r>
              <w:rPr>
                <w:sz w:val="22"/>
                <w:szCs w:val="22"/>
              </w:rPr>
              <w:t>Magna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 xml:space="preserve">-е, </w:t>
            </w:r>
            <w:r w:rsidRPr="00C724DA">
              <w:rPr>
                <w:i/>
                <w:sz w:val="22"/>
                <w:szCs w:val="22"/>
                <w:lang w:val="sr-Cyrl-RS"/>
              </w:rPr>
              <w:t xml:space="preserve">Усклађивње правног </w:t>
            </w:r>
            <w:r w:rsidRPr="00C724DA">
              <w:rPr>
                <w:i/>
                <w:sz w:val="22"/>
                <w:szCs w:val="22"/>
                <w:lang w:val="sr-Cyrl-RS"/>
              </w:rPr>
              <w:lastRenderedPageBreak/>
              <w:t>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3, Крагујевац, 2015, стр. 3-17.</w:t>
            </w:r>
          </w:p>
          <w:p w14:paraId="549559A0" w14:textId="77777777" w:rsidR="00DE56FE" w:rsidRPr="00C724DA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Правне идеје Холандске револуције, </w:t>
            </w:r>
            <w:r w:rsidRPr="00C724DA">
              <w:rPr>
                <w:i/>
                <w:sz w:val="22"/>
                <w:szCs w:val="22"/>
                <w:lang w:val="sr-Cyrl-RS"/>
              </w:rPr>
              <w:t>Усклађивње правног 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2, Крагујевац, 2014, стр. 3-12.</w:t>
            </w:r>
          </w:p>
          <w:p w14:paraId="009C1F61" w14:textId="77777777"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Јовановић, </w:t>
            </w:r>
            <w:r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>
              <w:rPr>
                <w:sz w:val="22"/>
                <w:szCs w:val="22"/>
                <w:lang w:val="ru-RU"/>
              </w:rPr>
              <w:t xml:space="preserve">, Београд, 1990. </w:t>
            </w:r>
          </w:p>
          <w:p w14:paraId="006C6DF6" w14:textId="77777777"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Јовичић, </w:t>
            </w:r>
            <w:r>
              <w:rPr>
                <w:i/>
                <w:iCs/>
                <w:sz w:val="22"/>
                <w:szCs w:val="22"/>
                <w:lang w:val="ru-RU"/>
              </w:rPr>
              <w:t>Уставни и политички системи</w:t>
            </w:r>
            <w:r>
              <w:rPr>
                <w:sz w:val="22"/>
                <w:szCs w:val="22"/>
                <w:lang w:val="ru-RU"/>
              </w:rPr>
              <w:t>, Београд, 2006.</w:t>
            </w:r>
          </w:p>
          <w:p w14:paraId="5AC31FCD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0AA7F1F9" w14:textId="77777777"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67FA974D" w14:textId="77777777" w:rsidR="00DE56FE" w:rsidRDefault="00DE56FE" w:rsidP="007A0240">
            <w:pPr>
              <w:jc w:val="both"/>
              <w:rPr>
                <w:lang w:val="nb-NO"/>
              </w:rPr>
            </w:pPr>
            <w:r w:rsidRPr="00A857A3">
              <w:rPr>
                <w:lang w:val="nb-NO"/>
              </w:rPr>
              <w:t xml:space="preserve">K. J. Fridrih, </w:t>
            </w:r>
            <w:r w:rsidRPr="00A857A3">
              <w:rPr>
                <w:i/>
                <w:iCs/>
                <w:lang w:val="nb-NO"/>
              </w:rPr>
              <w:t>Konstitucionalna demokratija</w:t>
            </w:r>
            <w:r w:rsidRPr="00A857A3">
              <w:rPr>
                <w:lang w:val="nb-NO"/>
              </w:rPr>
              <w:t>, Podgorica, 2005.</w:t>
            </w:r>
          </w:p>
          <w:p w14:paraId="138B4782" w14:textId="77777777" w:rsidR="00DE56FE" w:rsidRPr="00295DF0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С. Јовановић, </w:t>
            </w:r>
            <w:r>
              <w:rPr>
                <w:i/>
                <w:iCs/>
                <w:lang w:val="sr-Cyrl-CS"/>
              </w:rPr>
              <w:t>Примери политичке социологије</w:t>
            </w:r>
            <w:r>
              <w:rPr>
                <w:lang w:val="sr-Cyrl-CS"/>
              </w:rPr>
              <w:t>, Београд, 1990.</w:t>
            </w:r>
          </w:p>
          <w:p w14:paraId="6142F43B" w14:textId="77777777" w:rsidR="00DE56FE" w:rsidRDefault="00DE56FE" w:rsidP="007A024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М. Јовичић, </w:t>
            </w:r>
            <w:r>
              <w:rPr>
                <w:i/>
                <w:iCs/>
                <w:lang w:val="sr-Cyrl-CS"/>
              </w:rPr>
              <w:t>Устав и уставност</w:t>
            </w:r>
            <w:r>
              <w:rPr>
                <w:lang w:val="sr-Cyrl-CS"/>
              </w:rPr>
              <w:t>, Београд, 2006.</w:t>
            </w:r>
          </w:p>
          <w:p w14:paraId="60A06980" w14:textId="77777777" w:rsidR="00DE56FE" w:rsidRPr="00AC1F19" w:rsidRDefault="00DE56FE" w:rsidP="007A0240">
            <w:pPr>
              <w:jc w:val="both"/>
              <w:rPr>
                <w:sz w:val="20"/>
                <w:szCs w:val="20"/>
              </w:rPr>
            </w:pPr>
            <w:r w:rsidRPr="00295DF0">
              <w:rPr>
                <w:lang w:val="nb-NO"/>
              </w:rPr>
              <w:t>R. Markovi</w:t>
            </w:r>
            <w:r>
              <w:rPr>
                <w:lang w:val="nb-NO"/>
              </w:rPr>
              <w:t>ć</w:t>
            </w:r>
            <w:r w:rsidRPr="00295DF0">
              <w:rPr>
                <w:lang w:val="nb-NO"/>
              </w:rPr>
              <w:t xml:space="preserve">, </w:t>
            </w:r>
            <w:r w:rsidRPr="00295DF0">
              <w:rPr>
                <w:i/>
                <w:iCs/>
                <w:lang w:val="nb-NO"/>
              </w:rPr>
              <w:t>Izvr</w:t>
            </w:r>
            <w:r>
              <w:rPr>
                <w:i/>
                <w:iCs/>
                <w:lang w:val="nb-NO"/>
              </w:rPr>
              <w:t>š</w:t>
            </w:r>
            <w:r w:rsidRPr="00295DF0">
              <w:rPr>
                <w:i/>
                <w:iCs/>
                <w:lang w:val="nb-NO"/>
              </w:rPr>
              <w:t>na vlast</w:t>
            </w:r>
            <w:r w:rsidRPr="00295DF0">
              <w:rPr>
                <w:lang w:val="nb-NO"/>
              </w:rPr>
              <w:t>, Beograd, 1980.</w:t>
            </w:r>
          </w:p>
        </w:tc>
      </w:tr>
      <w:tr w:rsidR="00DE56FE" w:rsidRPr="00323ED7" w14:paraId="14E0907C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DD5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14:paraId="071C2CB8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6E0" w14:textId="77777777" w:rsidR="00A1743E" w:rsidRDefault="00A1743E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FD24839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14:paraId="6129765E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0EAECED1" w14:textId="77777777" w:rsidR="00A1743E" w:rsidRPr="00B618A4" w:rsidRDefault="00A1743E" w:rsidP="00A1743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6340D328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48F19E51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78535BC5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0F4864F" w14:textId="77777777" w:rsidR="00A1743E" w:rsidRPr="00E8777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2FD15459" w14:textId="77777777" w:rsidR="00A1743E" w:rsidRPr="00561374" w:rsidRDefault="00A1743E" w:rsidP="00A1743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0C9DB765" w14:textId="77777777" w:rsidR="00A1743E" w:rsidRPr="00561374" w:rsidRDefault="00A1743E" w:rsidP="00A1743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19916819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7A5348B7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6819992D" w14:textId="77777777" w:rsidR="00A1743E" w:rsidRDefault="00A1743E" w:rsidP="00A1743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9164790" w14:textId="77777777" w:rsidR="00A1743E" w:rsidRPr="008D51C9" w:rsidRDefault="00A1743E" w:rsidP="00A1743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26C42E97" w14:textId="77777777" w:rsidR="00A1743E" w:rsidRPr="002306B9" w:rsidRDefault="00A1743E" w:rsidP="00A1743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918BB92" w14:textId="22FB3016" w:rsidR="00DE56FE" w:rsidRPr="00A1743E" w:rsidRDefault="00A1743E" w:rsidP="00A1743E">
            <w:pPr>
              <w:jc w:val="both"/>
              <w:rPr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DE56FE" w:rsidRPr="00323ED7" w14:paraId="2655AB71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9140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EEC" w14:textId="77777777"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3F9EC5CC" w14:textId="77777777"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12C1BEA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9170258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DE56FE" w:rsidRPr="00323ED7" w14:paraId="14E79BD3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56CC" w14:textId="77777777" w:rsidR="00DE56FE" w:rsidRPr="00057A3F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1. </w:t>
            </w:r>
            <w:r>
              <w:rPr>
                <w:lang w:val="sr-Cyrl-CS"/>
              </w:rPr>
              <w:t>Развитак буџетског права</w:t>
            </w:r>
          </w:p>
          <w:p w14:paraId="06FD92F3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 Правни положај Председника по Уставу САД</w:t>
            </w:r>
          </w:p>
          <w:p w14:paraId="48FB28A7" w14:textId="77777777"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уставносудске власти</w:t>
            </w:r>
          </w:p>
          <w:p w14:paraId="6653673B" w14:textId="77777777" w:rsidR="00DE56FE" w:rsidRPr="00B617A3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Историја </w:t>
            </w:r>
            <w:r>
              <w:t>Habeas</w:t>
            </w:r>
            <w:r w:rsidRPr="00B617A3">
              <w:rPr>
                <w:lang w:val="ru-RU"/>
              </w:rPr>
              <w:t xml:space="preserve"> </w:t>
            </w:r>
            <w:r>
              <w:t>Corpus</w:t>
            </w:r>
            <w:r w:rsidRPr="00B617A3">
              <w:rPr>
                <w:lang w:val="ru-RU"/>
              </w:rPr>
              <w:t>-</w:t>
            </w:r>
            <w:r>
              <w:t>a</w:t>
            </w:r>
          </w:p>
          <w:p w14:paraId="28AC3719" w14:textId="77777777" w:rsidR="00DE56FE" w:rsidRPr="00B617A3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 Историја министарске одговорности</w:t>
            </w:r>
          </w:p>
          <w:p w14:paraId="71CA8CCD" w14:textId="77777777" w:rsidR="00DE56FE" w:rsidRPr="007978FF" w:rsidRDefault="00DE56FE" w:rsidP="007A0240">
            <w:pPr>
              <w:rPr>
                <w:sz w:val="20"/>
                <w:szCs w:val="20"/>
                <w:lang w:val="ru-RU"/>
              </w:rPr>
            </w:pPr>
          </w:p>
          <w:p w14:paraId="028882B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A0AA1A2" w14:textId="77777777"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4519B36" w14:textId="77777777" w:rsidR="00DE56FE" w:rsidRPr="007E44B4" w:rsidRDefault="00DE56FE" w:rsidP="00DE56FE">
      <w:pPr>
        <w:rPr>
          <w:lang w:val="sr-Cyrl-CS"/>
        </w:rPr>
      </w:pPr>
    </w:p>
    <w:p w14:paraId="19BC2AE1" w14:textId="77777777" w:rsidR="00DE56FE" w:rsidRPr="007E44B4" w:rsidRDefault="00DE56FE" w:rsidP="00DE56FE">
      <w:pPr>
        <w:rPr>
          <w:lang w:val="sr-Cyrl-CS"/>
        </w:rPr>
      </w:pPr>
    </w:p>
    <w:p w14:paraId="62C5BF6B" w14:textId="77777777" w:rsidR="00DE56FE" w:rsidRPr="007E44B4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14:paraId="4FCAAB7D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4D693A" w14:textId="77777777"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lastRenderedPageBreak/>
              <w:t>Испитна питања</w:t>
            </w:r>
          </w:p>
        </w:tc>
      </w:tr>
      <w:tr w:rsidR="00DE56FE" w:rsidRPr="00BF1F35" w14:paraId="5F76F245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B6F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Научни проблем првог устава</w:t>
            </w:r>
          </w:p>
          <w:p w14:paraId="01744845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Појава парламента и развитак његових овлашћења</w:t>
            </w:r>
          </w:p>
          <w:p w14:paraId="65053730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Подела власти у Уставу САД и уставима других земаља</w:t>
            </w:r>
          </w:p>
          <w:p w14:paraId="14230827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САД, Швајцарској и Италији</w:t>
            </w:r>
          </w:p>
          <w:p w14:paraId="1EFC8BB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француској и немачкој историји уставности</w:t>
            </w:r>
          </w:p>
          <w:p w14:paraId="59880919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Историја ограничавања монархове власти</w:t>
            </w:r>
          </w:p>
          <w:p w14:paraId="52D1F154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Уставноправна овлашћења председника САД,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по Вајмарском уставу</w:t>
            </w:r>
          </w:p>
          <w:p w14:paraId="5B23F6E9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Одговорност председника републике према Уставу САД, 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Вајмарском уставу</w:t>
            </w:r>
          </w:p>
          <w:p w14:paraId="0DC428DB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396015BA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Парламентаризам </w:t>
            </w:r>
          </w:p>
          <w:p w14:paraId="362E54F1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карактеристике тзв. немачког</w:t>
            </w:r>
            <w:r w:rsidRPr="00BF1F35">
              <w:rPr>
                <w:lang w:val="sr-Cyrl-CS"/>
              </w:rPr>
              <w:t xml:space="preserve"> тип</w:t>
            </w:r>
            <w:r>
              <w:rPr>
                <w:lang w:val="sr-Cyrl-CS"/>
              </w:rPr>
              <w:t>а</w:t>
            </w:r>
            <w:r w:rsidRPr="00BF1F35">
              <w:rPr>
                <w:lang w:val="sr-Cyrl-CS"/>
              </w:rPr>
              <w:t xml:space="preserve"> монархије</w:t>
            </w:r>
          </w:p>
          <w:p w14:paraId="2A7D6942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заштита</w:t>
            </w:r>
            <w:r w:rsidRPr="00BF1F35">
              <w:rPr>
                <w:lang w:val="sr-Cyrl-CS"/>
              </w:rPr>
              <w:t xml:space="preserve"> приватних (личних) права</w:t>
            </w:r>
          </w:p>
          <w:p w14:paraId="283BDC4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Сличности и разлике </w:t>
            </w:r>
            <w:r>
              <w:rPr>
                <w:lang w:val="sr-Cyrl-CS"/>
              </w:rPr>
              <w:t>између Декларације независности и Декларације права човека и грађанина</w:t>
            </w:r>
          </w:p>
          <w:p w14:paraId="1B7F28DA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Установљење и значај уставно-судске функције Врховног суда САД</w:t>
            </w:r>
          </w:p>
          <w:p w14:paraId="784EF37B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Уставу Француске од 1791.</w:t>
            </w:r>
          </w:p>
          <w:p w14:paraId="07DFB00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Појава и развитак различитих изборних система </w:t>
            </w:r>
          </w:p>
          <w:p w14:paraId="2B71614D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Развитак бирачког права</w:t>
            </w:r>
          </w:p>
          <w:p w14:paraId="37AE8F81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Конфедерације</w:t>
            </w:r>
          </w:p>
          <w:p w14:paraId="3EC41B1C" w14:textId="77777777"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Облици федерација</w:t>
            </w:r>
          </w:p>
          <w:p w14:paraId="0450D372" w14:textId="77777777" w:rsidR="00DE56FE" w:rsidRPr="00691B7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Историјски примери доношења закона и решавања сукоба домова у дводомним парламентима</w:t>
            </w:r>
          </w:p>
          <w:p w14:paraId="2BCC80D3" w14:textId="77777777"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Проблем броја народних посланика</w:t>
            </w:r>
          </w:p>
        </w:tc>
      </w:tr>
    </w:tbl>
    <w:p w14:paraId="7139362D" w14:textId="77777777" w:rsidR="00DE56FE" w:rsidRPr="00BF1F35" w:rsidRDefault="00DE56FE" w:rsidP="00DE56FE">
      <w:pPr>
        <w:jc w:val="both"/>
        <w:rPr>
          <w:lang w:val="sr-Cyrl-CS"/>
        </w:rPr>
      </w:pPr>
    </w:p>
    <w:p w14:paraId="3AE058E1" w14:textId="77777777" w:rsidR="00DE56FE" w:rsidRPr="006D0E49" w:rsidRDefault="00DE56FE" w:rsidP="00DE56FE">
      <w:pPr>
        <w:jc w:val="both"/>
        <w:rPr>
          <w:lang w:val="ru-RU"/>
        </w:rPr>
      </w:pPr>
    </w:p>
    <w:p w14:paraId="4BBE8562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306247">
    <w:abstractNumId w:val="0"/>
  </w:num>
  <w:num w:numId="2" w16cid:durableId="1530679468">
    <w:abstractNumId w:val="2"/>
  </w:num>
  <w:num w:numId="3" w16cid:durableId="59664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125"/>
    <w:rsid w:val="00140425"/>
    <w:rsid w:val="001E2125"/>
    <w:rsid w:val="00302E09"/>
    <w:rsid w:val="00323ED7"/>
    <w:rsid w:val="0045153A"/>
    <w:rsid w:val="007B07B8"/>
    <w:rsid w:val="007E44B4"/>
    <w:rsid w:val="009B34B8"/>
    <w:rsid w:val="00A1743E"/>
    <w:rsid w:val="00CC2689"/>
    <w:rsid w:val="00D4787D"/>
    <w:rsid w:val="00D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FDE"/>
  <w15:docId w15:val="{B9AE9F77-57EC-4F10-A665-818F4EB2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DE56FE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 Char"/>
    <w:basedOn w:val="Normal"/>
    <w:link w:val="Teloteksta3Char"/>
    <w:rsid w:val="00DE56FE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 Char"/>
    <w:basedOn w:val="Podrazumevanifontpasusa"/>
    <w:link w:val="Teloteksta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rsid w:val="00D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10</cp:revision>
  <dcterms:created xsi:type="dcterms:W3CDTF">2017-08-23T11:55:00Z</dcterms:created>
  <dcterms:modified xsi:type="dcterms:W3CDTF">2025-07-28T10:12:00Z</dcterms:modified>
</cp:coreProperties>
</file>